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A86" w14:textId="16564EE4" w:rsidR="00A304F2" w:rsidRPr="00136ED3" w:rsidRDefault="00A304F2" w:rsidP="003E6FBB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" w:hAnsi="Arial" w:cs="Arial"/>
          <w:b/>
          <w:sz w:val="24"/>
          <w:szCs w:val="24"/>
        </w:rPr>
      </w:pPr>
      <w:r w:rsidRPr="00136ED3">
        <w:rPr>
          <w:rFonts w:ascii="Arial" w:hAnsi="Arial" w:cs="Arial"/>
          <w:b/>
          <w:sz w:val="24"/>
          <w:szCs w:val="24"/>
        </w:rPr>
        <w:t>Sample Letter of Medical Necessity</w:t>
      </w:r>
      <w:r w:rsidR="003A3662" w:rsidRPr="00136ED3">
        <w:rPr>
          <w:rFonts w:ascii="Arial" w:hAnsi="Arial" w:cs="Arial"/>
          <w:b/>
          <w:sz w:val="24"/>
          <w:szCs w:val="24"/>
        </w:rPr>
        <w:t>*</w:t>
      </w:r>
    </w:p>
    <w:p w14:paraId="42B5BD84" w14:textId="1631DA06" w:rsidR="00D868F1" w:rsidRPr="00136ED3" w:rsidRDefault="00D868F1" w:rsidP="00D868F1">
      <w:pPr>
        <w:autoSpaceDE w:val="0"/>
        <w:autoSpaceDN w:val="0"/>
        <w:jc w:val="center"/>
        <w:rPr>
          <w:rFonts w:ascii="Arial" w:hAnsi="Arial" w:cs="Arial"/>
          <w:sz w:val="16"/>
          <w:szCs w:val="16"/>
        </w:rPr>
      </w:pPr>
      <w:r w:rsidRPr="00136ED3">
        <w:rPr>
          <w:rFonts w:ascii="Arial" w:hAnsi="Arial" w:cs="Arial"/>
          <w:sz w:val="16"/>
          <w:szCs w:val="16"/>
        </w:rPr>
        <w:t>(*</w:t>
      </w:r>
      <w:r w:rsidR="00FB40F1" w:rsidRPr="00136ED3">
        <w:rPr>
          <w:rFonts w:ascii="Arial" w:hAnsi="Arial" w:cs="Arial"/>
          <w:sz w:val="16"/>
          <w:szCs w:val="16"/>
        </w:rPr>
        <w:t>This template is intended only as an example. It should be customized with patient-specific details and any other information deemed necessary, then printed on your letterhead prior to submission to the payer.)</w:t>
      </w:r>
    </w:p>
    <w:p w14:paraId="2CE0343A" w14:textId="77777777" w:rsidR="009A7D6E" w:rsidRPr="00136ED3" w:rsidRDefault="00A304F2" w:rsidP="00D868F1">
      <w:pPr>
        <w:pStyle w:val="BOLDTEXT"/>
        <w:spacing w:before="60"/>
        <w:rPr>
          <w:b w:val="0"/>
          <w:bCs w:val="0"/>
          <w:color w:val="auto"/>
          <w:szCs w:val="20"/>
        </w:rPr>
      </w:pPr>
      <w:r w:rsidRPr="00136ED3">
        <w:rPr>
          <w:b w:val="0"/>
          <w:bCs w:val="0"/>
          <w:color w:val="auto"/>
          <w:szCs w:val="20"/>
        </w:rPr>
        <w:t>[Insert physician letterhead]</w:t>
      </w:r>
      <w:r w:rsidR="006129DC" w:rsidRPr="00136ED3">
        <w:rPr>
          <w:b w:val="0"/>
          <w:bCs w:val="0"/>
          <w:noProof/>
          <w:color w:val="auto"/>
          <w:szCs w:val="20"/>
        </w:rPr>
        <w:t xml:space="preserve"> </w:t>
      </w:r>
    </w:p>
    <w:p w14:paraId="304053F0" w14:textId="77777777" w:rsidR="009A7D6E" w:rsidRPr="00136ED3" w:rsidRDefault="009A7D6E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</w:pPr>
    </w:p>
    <w:p w14:paraId="33C1F6CE" w14:textId="77777777" w:rsidR="0060356F" w:rsidRPr="00136ED3" w:rsidRDefault="0060356F" w:rsidP="003E6FBB">
      <w:pPr>
        <w:pStyle w:val="TEXT"/>
        <w:tabs>
          <w:tab w:val="left" w:pos="5310"/>
          <w:tab w:val="left" w:pos="5760"/>
          <w:tab w:val="right" w:pos="9605"/>
        </w:tabs>
        <w:spacing w:before="60"/>
        <w:rPr>
          <w:b/>
          <w:bCs/>
        </w:rPr>
        <w:sectPr w:rsidR="0060356F" w:rsidRPr="00136ED3" w:rsidSect="00885038">
          <w:footerReference w:type="default" r:id="rId10"/>
          <w:type w:val="continuous"/>
          <w:pgSz w:w="12240" w:h="15840"/>
          <w:pgMar w:top="1008" w:right="1008" w:bottom="720" w:left="1080" w:header="475" w:footer="475" w:gutter="0"/>
          <w:cols w:space="720"/>
          <w:noEndnote/>
          <w:docGrid w:linePitch="299"/>
        </w:sectPr>
      </w:pPr>
    </w:p>
    <w:p w14:paraId="169D50AC" w14:textId="08A14A98" w:rsidR="0028307E" w:rsidRPr="00136ED3" w:rsidRDefault="0028307E" w:rsidP="0002164A">
      <w:pPr>
        <w:pStyle w:val="NoSpacing"/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>[</w:t>
      </w:r>
      <w:r w:rsidR="00B14569" w:rsidRPr="00136ED3">
        <w:rPr>
          <w:rFonts w:ascii="Arial" w:hAnsi="Arial" w:cs="Arial"/>
          <w:sz w:val="20"/>
          <w:szCs w:val="20"/>
        </w:rPr>
        <w:t xml:space="preserve">Insert </w:t>
      </w:r>
      <w:r w:rsidRPr="00136ED3">
        <w:rPr>
          <w:rFonts w:ascii="Arial" w:hAnsi="Arial" w:cs="Arial"/>
          <w:sz w:val="20"/>
          <w:szCs w:val="20"/>
        </w:rPr>
        <w:t>Date]</w:t>
      </w:r>
    </w:p>
    <w:p w14:paraId="48FFBD15" w14:textId="6DCDD250" w:rsidR="00A304F2" w:rsidRPr="00136ED3" w:rsidRDefault="009A7D6E" w:rsidP="0002164A">
      <w:pPr>
        <w:pStyle w:val="NoSpacing"/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>[</w:t>
      </w:r>
      <w:r w:rsidR="0060356F" w:rsidRPr="00136ED3">
        <w:rPr>
          <w:rFonts w:ascii="Arial" w:hAnsi="Arial" w:cs="Arial"/>
          <w:sz w:val="20"/>
          <w:szCs w:val="20"/>
        </w:rPr>
        <w:t>Insert Payer Name</w:t>
      </w:r>
      <w:r w:rsidR="00A304F2" w:rsidRPr="00136ED3">
        <w:rPr>
          <w:rFonts w:ascii="Arial" w:hAnsi="Arial" w:cs="Arial"/>
          <w:sz w:val="20"/>
          <w:szCs w:val="20"/>
        </w:rPr>
        <w:t>]</w:t>
      </w:r>
      <w:r w:rsidR="0060356F" w:rsidRPr="00136ED3">
        <w:rPr>
          <w:rFonts w:ascii="Arial" w:hAnsi="Arial" w:cs="Arial"/>
          <w:sz w:val="20"/>
          <w:szCs w:val="20"/>
        </w:rPr>
        <w:br/>
      </w:r>
      <w:r w:rsidR="00A304F2" w:rsidRPr="00136ED3">
        <w:rPr>
          <w:rFonts w:ascii="Arial" w:hAnsi="Arial" w:cs="Arial"/>
          <w:sz w:val="20"/>
          <w:szCs w:val="20"/>
        </w:rPr>
        <w:t>[</w:t>
      </w:r>
      <w:r w:rsidR="0060356F" w:rsidRPr="00136ED3">
        <w:rPr>
          <w:rFonts w:ascii="Arial" w:hAnsi="Arial" w:cs="Arial"/>
          <w:sz w:val="20"/>
          <w:szCs w:val="20"/>
        </w:rPr>
        <w:t>Insert Address</w:t>
      </w:r>
      <w:r w:rsidR="00A304F2" w:rsidRPr="00136ED3">
        <w:rPr>
          <w:rFonts w:ascii="Arial" w:hAnsi="Arial" w:cs="Arial"/>
          <w:sz w:val="20"/>
          <w:szCs w:val="20"/>
        </w:rPr>
        <w:t>]</w:t>
      </w:r>
      <w:r w:rsidR="0060356F" w:rsidRPr="00136ED3">
        <w:rPr>
          <w:rFonts w:ascii="Arial" w:hAnsi="Arial" w:cs="Arial"/>
          <w:sz w:val="20"/>
          <w:szCs w:val="20"/>
        </w:rPr>
        <w:br/>
      </w:r>
      <w:r w:rsidR="00A304F2" w:rsidRPr="00136ED3">
        <w:rPr>
          <w:rFonts w:ascii="Arial" w:hAnsi="Arial" w:cs="Arial"/>
          <w:sz w:val="20"/>
          <w:szCs w:val="20"/>
        </w:rPr>
        <w:t>[</w:t>
      </w:r>
      <w:r w:rsidR="0060356F" w:rsidRPr="00136ED3">
        <w:rPr>
          <w:rFonts w:ascii="Arial" w:hAnsi="Arial" w:cs="Arial"/>
          <w:sz w:val="20"/>
          <w:szCs w:val="20"/>
        </w:rPr>
        <w:t xml:space="preserve">Insert </w:t>
      </w:r>
      <w:r w:rsidR="00A304F2" w:rsidRPr="00136ED3">
        <w:rPr>
          <w:rFonts w:ascii="Arial" w:hAnsi="Arial" w:cs="Arial"/>
          <w:sz w:val="20"/>
          <w:szCs w:val="20"/>
        </w:rPr>
        <w:t>City, State, ZIP]</w:t>
      </w:r>
    </w:p>
    <w:p w14:paraId="6611FD71" w14:textId="0C0A3F07" w:rsidR="0060356F" w:rsidRPr="00136ED3" w:rsidRDefault="0028307E" w:rsidP="0002164A">
      <w:pPr>
        <w:pStyle w:val="NoSpacing"/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>[</w:t>
      </w:r>
      <w:r w:rsidR="0060356F" w:rsidRPr="00136ED3">
        <w:rPr>
          <w:rFonts w:ascii="Arial" w:hAnsi="Arial" w:cs="Arial"/>
          <w:sz w:val="20"/>
          <w:szCs w:val="20"/>
        </w:rPr>
        <w:t xml:space="preserve">Insert </w:t>
      </w:r>
      <w:r w:rsidRPr="00136ED3">
        <w:rPr>
          <w:rFonts w:ascii="Arial" w:hAnsi="Arial" w:cs="Arial"/>
          <w:sz w:val="20"/>
          <w:szCs w:val="20"/>
        </w:rPr>
        <w:t>Fax]</w:t>
      </w:r>
    </w:p>
    <w:p w14:paraId="4CA1F68A" w14:textId="77777777" w:rsidR="0002164A" w:rsidRPr="00136ED3" w:rsidRDefault="0002164A" w:rsidP="0002164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9347DDD" w14:textId="32E38CC2" w:rsidR="0002164A" w:rsidRPr="00136ED3" w:rsidRDefault="0002164A" w:rsidP="0002164A">
      <w:pPr>
        <w:pStyle w:val="NoSpacing"/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b/>
          <w:bCs/>
          <w:sz w:val="20"/>
          <w:szCs w:val="20"/>
        </w:rPr>
        <w:t xml:space="preserve">Re: </w:t>
      </w:r>
      <w:r w:rsidR="0060356F" w:rsidRPr="00136ED3">
        <w:rPr>
          <w:rFonts w:ascii="Arial" w:hAnsi="Arial" w:cs="Arial"/>
          <w:b/>
          <w:bCs/>
          <w:sz w:val="20"/>
          <w:szCs w:val="20"/>
        </w:rPr>
        <w:t>Patient Name:</w:t>
      </w:r>
      <w:r w:rsidR="0060356F" w:rsidRPr="00136ED3">
        <w:rPr>
          <w:rFonts w:ascii="Arial" w:hAnsi="Arial" w:cs="Arial"/>
          <w:sz w:val="20"/>
          <w:szCs w:val="20"/>
        </w:rPr>
        <w:t xml:space="preserve"> [Insert Name]</w:t>
      </w:r>
    </w:p>
    <w:p w14:paraId="6D5C556A" w14:textId="76891B8A" w:rsidR="0002164A" w:rsidRPr="00136ED3" w:rsidRDefault="0002164A" w:rsidP="0002164A">
      <w:pPr>
        <w:pStyle w:val="NoSpacing"/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b/>
          <w:bCs/>
          <w:sz w:val="20"/>
          <w:szCs w:val="20"/>
        </w:rPr>
        <w:t xml:space="preserve">       Patient Date of Birth:</w:t>
      </w:r>
      <w:r w:rsidRPr="00136ED3">
        <w:rPr>
          <w:rFonts w:ascii="Arial" w:hAnsi="Arial" w:cs="Arial"/>
          <w:sz w:val="20"/>
          <w:szCs w:val="20"/>
        </w:rPr>
        <w:t xml:space="preserve"> [XX/YY/ZZZZ]</w:t>
      </w:r>
    </w:p>
    <w:p w14:paraId="0264A48C" w14:textId="77777777" w:rsidR="0002164A" w:rsidRPr="00136ED3" w:rsidRDefault="0002164A" w:rsidP="0002164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8E4794A" w14:textId="1AFD5890" w:rsidR="0002164A" w:rsidRPr="00136ED3" w:rsidRDefault="0002164A" w:rsidP="000216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36ED3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0356F" w:rsidRPr="00136ED3">
        <w:rPr>
          <w:rFonts w:ascii="Arial" w:hAnsi="Arial" w:cs="Arial"/>
          <w:b/>
          <w:bCs/>
          <w:sz w:val="20"/>
          <w:szCs w:val="20"/>
        </w:rPr>
        <w:t xml:space="preserve">Member Number: </w:t>
      </w:r>
      <w:r w:rsidR="0060356F" w:rsidRPr="00136ED3">
        <w:rPr>
          <w:rFonts w:ascii="Arial" w:hAnsi="Arial" w:cs="Arial"/>
          <w:sz w:val="20"/>
          <w:szCs w:val="20"/>
        </w:rPr>
        <w:t>[Insert Member Number]</w:t>
      </w:r>
    </w:p>
    <w:p w14:paraId="0FDEFDEC" w14:textId="34ABE44F" w:rsidR="0002164A" w:rsidRPr="00136ED3" w:rsidRDefault="0002164A" w:rsidP="0002164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36ED3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0356F" w:rsidRPr="00136ED3">
        <w:rPr>
          <w:rFonts w:ascii="Arial" w:hAnsi="Arial" w:cs="Arial"/>
          <w:b/>
          <w:bCs/>
          <w:sz w:val="20"/>
          <w:szCs w:val="20"/>
        </w:rPr>
        <w:t xml:space="preserve">Group Number: </w:t>
      </w:r>
      <w:r w:rsidR="0060356F" w:rsidRPr="00136ED3">
        <w:rPr>
          <w:rFonts w:ascii="Arial" w:hAnsi="Arial" w:cs="Arial"/>
          <w:sz w:val="20"/>
          <w:szCs w:val="20"/>
        </w:rPr>
        <w:t>[Insert Group Number</w:t>
      </w:r>
      <w:r w:rsidRPr="00136ED3">
        <w:rPr>
          <w:rFonts w:ascii="Arial" w:hAnsi="Arial" w:cs="Arial"/>
          <w:sz w:val="20"/>
          <w:szCs w:val="20"/>
        </w:rPr>
        <w:t>]</w:t>
      </w:r>
      <w:r w:rsidRPr="00136E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261268" w14:textId="49215311" w:rsidR="0002164A" w:rsidRPr="00136ED3" w:rsidRDefault="0002164A" w:rsidP="0002164A">
      <w:pPr>
        <w:pStyle w:val="NoSpacing"/>
        <w:rPr>
          <w:rFonts w:ascii="Arial" w:hAnsi="Arial" w:cs="Arial"/>
          <w:b/>
          <w:bCs/>
          <w:sz w:val="20"/>
          <w:szCs w:val="20"/>
        </w:rPr>
        <w:sectPr w:rsidR="0002164A" w:rsidRPr="00136ED3" w:rsidSect="0060356F">
          <w:type w:val="continuous"/>
          <w:pgSz w:w="12240" w:h="15840"/>
          <w:pgMar w:top="1008" w:right="1008" w:bottom="720" w:left="1080" w:header="475" w:footer="475" w:gutter="0"/>
          <w:cols w:num="2" w:space="720"/>
          <w:noEndnote/>
          <w:docGrid w:linePitch="299"/>
        </w:sectPr>
      </w:pPr>
      <w:r w:rsidRPr="00136ED3">
        <w:rPr>
          <w:rFonts w:ascii="Arial" w:hAnsi="Arial" w:cs="Arial"/>
          <w:b/>
          <w:bCs/>
          <w:sz w:val="20"/>
          <w:szCs w:val="20"/>
        </w:rPr>
        <w:t xml:space="preserve">       Claim Number</w:t>
      </w:r>
      <w:r w:rsidRPr="00136ED3">
        <w:rPr>
          <w:rFonts w:ascii="Arial" w:hAnsi="Arial" w:cs="Arial"/>
          <w:sz w:val="20"/>
          <w:szCs w:val="20"/>
        </w:rPr>
        <w:t>: [Insert Claim Number]</w:t>
      </w:r>
      <w:r w:rsidRPr="00136ED3">
        <w:rPr>
          <w:rFonts w:ascii="Arial" w:hAnsi="Arial" w:cs="Arial"/>
          <w:sz w:val="20"/>
          <w:szCs w:val="20"/>
        </w:rPr>
        <w:br/>
      </w:r>
    </w:p>
    <w:p w14:paraId="1605A865" w14:textId="4EBCCB88" w:rsidR="00A304F2" w:rsidRPr="00136ED3" w:rsidRDefault="00B14569" w:rsidP="001775AD">
      <w:pPr>
        <w:pStyle w:val="TEXT"/>
        <w:spacing w:before="240"/>
      </w:pPr>
      <w:r w:rsidRPr="00136ED3">
        <w:rPr>
          <w:noProof/>
        </w:rPr>
        <mc:AlternateContent>
          <mc:Choice Requires="wps">
            <w:drawing>
              <wp:inline distT="0" distB="0" distL="0" distR="0" wp14:anchorId="0C86E0A5" wp14:editId="2E37EC21">
                <wp:extent cx="6375400" cy="717550"/>
                <wp:effectExtent l="0" t="0" r="25400" b="254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5821" w14:textId="14790108" w:rsidR="00B14569" w:rsidRDefault="00B14569" w:rsidP="00B14569">
                            <w:r w:rsidRPr="00B14569">
                              <w:rPr>
                                <w:b/>
                                <w:bCs/>
                              </w:rPr>
                              <w:t>REQUEST:</w:t>
                            </w:r>
                            <w:r>
                              <w:t xml:space="preserve"> Authorization for treatment with SILIQ® (brodalumab)</w:t>
                            </w:r>
                            <w:r>
                              <w:br/>
                            </w:r>
                            <w:r w:rsidRPr="00B14569">
                              <w:rPr>
                                <w:b/>
                                <w:bCs/>
                              </w:rPr>
                              <w:t>DIAGNOSIS:</w:t>
                            </w:r>
                            <w:r>
                              <w:t xml:space="preserve"> [Insert Diagnosis] [Insert ICD]</w:t>
                            </w:r>
                            <w:r>
                              <w:br/>
                            </w:r>
                            <w:r w:rsidRPr="00B14569">
                              <w:rPr>
                                <w:b/>
                                <w:bCs/>
                              </w:rPr>
                              <w:t>REQUEST TYPE: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t xml:space="preserve"> Standard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t xml:space="preserve"> E</w:t>
                            </w:r>
                            <w:r w:rsidR="00BB29C5">
                              <w:t>xpedited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6E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2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">
                <v:textbox>
                  <w:txbxContent>
                    <w:p w14:paraId="1FE95821" w14:textId="14790108" w:rsidR="00B14569" w:rsidRDefault="00B14569" w:rsidP="00B14569">
                      <w:r w:rsidRPr="00B14569">
                        <w:rPr>
                          <w:b/>
                          <w:bCs/>
                        </w:rPr>
                        <w:t>REQUEST:</w:t>
                      </w:r>
                      <w:r>
                        <w:t xml:space="preserve"> Authorization for treatment with SILIQ® (brodalumab)</w:t>
                      </w:r>
                      <w:r>
                        <w:br/>
                      </w:r>
                      <w:r w:rsidRPr="00B14569">
                        <w:rPr>
                          <w:b/>
                          <w:bCs/>
                        </w:rPr>
                        <w:t>DIAGNOSIS:</w:t>
                      </w:r>
                      <w:r>
                        <w:t xml:space="preserve"> [Insert Diagnosis] [Insert ICD]</w:t>
                      </w:r>
                      <w:r>
                        <w:br/>
                      </w:r>
                      <w:r w:rsidRPr="00B14569">
                        <w:rPr>
                          <w:b/>
                          <w:bCs/>
                        </w:rPr>
                        <w:t>REQUEST TYPE:</w:t>
                      </w:r>
                      <w: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t xml:space="preserve"> Standard </w:t>
                      </w:r>
                      <w:r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t xml:space="preserve"> E</w:t>
                      </w:r>
                      <w:r w:rsidR="00BB29C5">
                        <w:t>xpedited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36ED3">
        <w:br/>
      </w:r>
      <w:r w:rsidRPr="00136ED3">
        <w:br/>
        <w:t>Dear [Insert Medical Director’s Name or Individual Responsible for Prior Authorization]</w:t>
      </w:r>
      <w:r w:rsidR="0028307E" w:rsidRPr="00136ED3">
        <w:t xml:space="preserve"> </w:t>
      </w:r>
    </w:p>
    <w:p w14:paraId="73C3D10C" w14:textId="4F474397" w:rsidR="00DA77BF" w:rsidRPr="00136ED3" w:rsidRDefault="00EF3128" w:rsidP="00FD2AD8">
      <w:pPr>
        <w:pStyle w:val="TEXT"/>
        <w:spacing w:before="240"/>
      </w:pPr>
      <w:r w:rsidRPr="00136ED3">
        <w:t xml:space="preserve">I </w:t>
      </w:r>
      <w:r w:rsidR="0028307E" w:rsidRPr="00136ED3">
        <w:t xml:space="preserve">have reviewed and recognize your guidelines of the responsible management of medications. </w:t>
      </w:r>
      <w:r w:rsidRPr="00136ED3">
        <w:t xml:space="preserve">I </w:t>
      </w:r>
      <w:r w:rsidR="0028307E" w:rsidRPr="00136ED3">
        <w:t>understand that your reason of denial is (</w:t>
      </w:r>
      <w:r w:rsidR="0028307E" w:rsidRPr="00136ED3">
        <w:rPr>
          <w:b/>
          <w:bCs/>
        </w:rPr>
        <w:t xml:space="preserve">insert the reason for denial </w:t>
      </w:r>
      <w:r w:rsidR="00FD2AD8" w:rsidRPr="00136ED3">
        <w:rPr>
          <w:b/>
          <w:bCs/>
        </w:rPr>
        <w:t>verbatim</w:t>
      </w:r>
      <w:r w:rsidR="0028307E" w:rsidRPr="00136ED3">
        <w:rPr>
          <w:b/>
          <w:bCs/>
        </w:rPr>
        <w:t xml:space="preserve"> from the denial letter</w:t>
      </w:r>
      <w:r w:rsidR="0028307E" w:rsidRPr="00136ED3">
        <w:t>)</w:t>
      </w:r>
      <w:r w:rsidR="00FD2AD8" w:rsidRPr="00136ED3">
        <w:t xml:space="preserve">. </w:t>
      </w:r>
      <w:r w:rsidRPr="00136ED3">
        <w:t xml:space="preserve">I am </w:t>
      </w:r>
      <w:r w:rsidR="00FD2AD8" w:rsidRPr="00136ED3">
        <w:t xml:space="preserve">requesting that you reassess your recent denial of </w:t>
      </w:r>
      <w:r w:rsidRPr="00136ED3">
        <w:t>SILIQ</w:t>
      </w:r>
      <w:r w:rsidR="00221008" w:rsidRPr="00136ED3">
        <w:t xml:space="preserve"> (brodalumab)</w:t>
      </w:r>
      <w:r w:rsidRPr="00136ED3">
        <w:t xml:space="preserve"> </w:t>
      </w:r>
      <w:r w:rsidR="00FD2AD8" w:rsidRPr="00136ED3">
        <w:t>coverage based on the following</w:t>
      </w:r>
      <w:r w:rsidR="00221008" w:rsidRPr="00136ED3">
        <w:t xml:space="preserve">: </w:t>
      </w:r>
    </w:p>
    <w:p w14:paraId="6402B0CC" w14:textId="56E2E9CE" w:rsidR="0002164A" w:rsidRPr="00136ED3" w:rsidRDefault="00221008" w:rsidP="00221008">
      <w:pPr>
        <w:pStyle w:val="TEXT"/>
        <w:spacing w:before="240"/>
      </w:pPr>
      <w:r w:rsidRPr="00136ED3">
        <w:rPr>
          <w:b/>
          <w:bCs/>
        </w:rPr>
        <w:t>Summary of Patient’s Diagnosis:</w:t>
      </w:r>
      <w:r w:rsidR="0002164A" w:rsidRPr="00136ED3">
        <w:rPr>
          <w:b/>
          <w:bCs/>
        </w:rPr>
        <w:br/>
      </w:r>
      <w:r w:rsidR="0002164A" w:rsidRPr="00136ED3">
        <w:t>[Insert:</w:t>
      </w:r>
    </w:p>
    <w:p w14:paraId="368E988E" w14:textId="6243251F" w:rsidR="0002164A" w:rsidRPr="00136ED3" w:rsidRDefault="00221008" w:rsidP="001F4DD1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 xml:space="preserve">Patient’s </w:t>
      </w:r>
      <w:r w:rsidR="00FD2AD8" w:rsidRPr="00136ED3">
        <w:rPr>
          <w:rFonts w:ascii="Arial" w:hAnsi="Arial" w:cs="Arial"/>
          <w:sz w:val="20"/>
          <w:szCs w:val="20"/>
        </w:rPr>
        <w:t>diagnosis</w:t>
      </w:r>
      <w:r w:rsidR="002D08F3" w:rsidRPr="00136ED3">
        <w:rPr>
          <w:rFonts w:ascii="Arial" w:hAnsi="Arial" w:cs="Arial"/>
          <w:sz w:val="20"/>
          <w:szCs w:val="20"/>
        </w:rPr>
        <w:t>, ICD10 code,</w:t>
      </w:r>
      <w:r w:rsidR="0002164A" w:rsidRPr="00136ED3">
        <w:rPr>
          <w:rFonts w:ascii="Arial" w:hAnsi="Arial" w:cs="Arial"/>
          <w:sz w:val="20"/>
          <w:szCs w:val="20"/>
        </w:rPr>
        <w:t xml:space="preserve"> date of diagnosis</w:t>
      </w:r>
    </w:p>
    <w:p w14:paraId="7BD2B5EC" w14:textId="52BBDB51" w:rsidR="0002164A" w:rsidRPr="00136ED3" w:rsidRDefault="0002164A" w:rsidP="001F4DD1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>Any relevant lab results and date</w:t>
      </w:r>
      <w:r w:rsidR="001F4DD1" w:rsidRPr="00136ED3">
        <w:rPr>
          <w:rFonts w:ascii="Arial" w:hAnsi="Arial" w:cs="Arial"/>
          <w:sz w:val="20"/>
          <w:szCs w:val="20"/>
        </w:rPr>
        <w:t>s</w:t>
      </w:r>
    </w:p>
    <w:p w14:paraId="7387E49F" w14:textId="77777777" w:rsidR="001F4DD1" w:rsidRPr="00136ED3" w:rsidRDefault="001F4DD1" w:rsidP="001F4DD1">
      <w:pPr>
        <w:pStyle w:val="TEXT"/>
        <w:spacing w:before="240"/>
        <w:rPr>
          <w:b/>
          <w:bCs/>
        </w:rPr>
      </w:pPr>
      <w:r w:rsidRPr="00136ED3">
        <w:rPr>
          <w:b/>
          <w:bCs/>
        </w:rPr>
        <w:t>Summary of Patient’s History:</w:t>
      </w:r>
      <w:r w:rsidRPr="00136ED3">
        <w:rPr>
          <w:b/>
          <w:bCs/>
        </w:rPr>
        <w:br/>
      </w:r>
      <w:r w:rsidRPr="00136ED3">
        <w:t>[Insert:</w:t>
      </w:r>
    </w:p>
    <w:p w14:paraId="0B8C5772" w14:textId="039A8439" w:rsidR="00CF05E5" w:rsidRPr="00136ED3" w:rsidRDefault="00CF05E5" w:rsidP="00136ED3">
      <w:pPr>
        <w:pStyle w:val="BOLDBULLETS"/>
        <w:numPr>
          <w:ilvl w:val="0"/>
          <w:numId w:val="10"/>
        </w:numPr>
        <w:rPr>
          <w:b w:val="0"/>
          <w:bCs/>
        </w:rPr>
      </w:pPr>
      <w:r w:rsidRPr="00136ED3">
        <w:rPr>
          <w:b w:val="0"/>
          <w:bCs/>
        </w:rPr>
        <w:t>Description of patient’s recent symptoms/condition, including photographs of plaques/location of plaques</w:t>
      </w:r>
      <w:r w:rsidR="0012480A">
        <w:rPr>
          <w:b w:val="0"/>
          <w:bCs/>
        </w:rPr>
        <w:t>,</w:t>
      </w:r>
      <w:r w:rsidRPr="00136ED3">
        <w:rPr>
          <w:b w:val="0"/>
          <w:bCs/>
        </w:rPr>
        <w:t xml:space="preserve"> if applicable</w:t>
      </w:r>
    </w:p>
    <w:p w14:paraId="1E8EAB02" w14:textId="4B56F214" w:rsidR="00CF05E5" w:rsidRDefault="00CF05E5" w:rsidP="00CF05E5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>Disease severity as measured by PASI Score and/or BSA</w:t>
      </w:r>
    </w:p>
    <w:p w14:paraId="47516647" w14:textId="3983D0CB" w:rsidR="00981808" w:rsidRPr="00136ED3" w:rsidRDefault="00981808" w:rsidP="00CF05E5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Disease characteristics that may make patient difficult to treat, such as obesity, scalp psoriasis, nail psoriasis, or resistant plaques. </w:t>
      </w:r>
    </w:p>
    <w:p w14:paraId="6E53D650" w14:textId="610467A9" w:rsidR="00DA77BF" w:rsidRPr="00136ED3" w:rsidRDefault="00DA77BF" w:rsidP="00DA77BF">
      <w:pPr>
        <w:pStyle w:val="BOLDBULLETS"/>
        <w:numPr>
          <w:ilvl w:val="0"/>
          <w:numId w:val="7"/>
        </w:numPr>
        <w:rPr>
          <w:b w:val="0"/>
          <w:bCs/>
        </w:rPr>
      </w:pPr>
      <w:r w:rsidRPr="00136ED3">
        <w:rPr>
          <w:b w:val="0"/>
          <w:bCs/>
        </w:rPr>
        <w:t>Patient’s TB Status</w:t>
      </w:r>
      <w:r w:rsidR="002548CB" w:rsidRPr="00136ED3">
        <w:rPr>
          <w:b w:val="0"/>
          <w:bCs/>
        </w:rPr>
        <w:t xml:space="preserve">: If treated, dates of treatment. </w:t>
      </w:r>
    </w:p>
    <w:p w14:paraId="4F15B4BC" w14:textId="77777777" w:rsidR="00136ED3" w:rsidRPr="00136ED3" w:rsidRDefault="00DA77BF" w:rsidP="00136ED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 xml:space="preserve">Patient’s Serious Infection Status: If patient does have an infection, please list site, treatment, and anticipated resolution dates. </w:t>
      </w:r>
    </w:p>
    <w:p w14:paraId="41F9C7F1" w14:textId="5128DF37" w:rsidR="00DA77BF" w:rsidRPr="00136ED3" w:rsidRDefault="00136ED3" w:rsidP="00136ED3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36ED3">
        <w:rPr>
          <w:rFonts w:ascii="Arial" w:hAnsi="Arial" w:cs="Arial"/>
          <w:sz w:val="20"/>
          <w:szCs w:val="20"/>
        </w:rPr>
        <w:t xml:space="preserve">Allergies, if applicable </w:t>
      </w:r>
    </w:p>
    <w:p w14:paraId="72C60FFC" w14:textId="1DFD49BA" w:rsidR="00CF05E5" w:rsidRPr="00136ED3" w:rsidRDefault="00CF05E5" w:rsidP="00CF05E5">
      <w:pPr>
        <w:pStyle w:val="BOLDBULLETS"/>
        <w:numPr>
          <w:ilvl w:val="0"/>
          <w:numId w:val="7"/>
        </w:numPr>
        <w:rPr>
          <w:b w:val="0"/>
          <w:bCs/>
        </w:rPr>
      </w:pPr>
      <w:r w:rsidRPr="00136ED3">
        <w:rPr>
          <w:b w:val="0"/>
          <w:bCs/>
        </w:rPr>
        <w:t>Patient global assessment, physician global assessment, if applicable</w:t>
      </w:r>
    </w:p>
    <w:p w14:paraId="336039D3" w14:textId="77777777" w:rsidR="00CF05E5" w:rsidRPr="00136ED3" w:rsidRDefault="00CF05E5" w:rsidP="00CF05E5">
      <w:pPr>
        <w:pStyle w:val="BOLDBULLETS"/>
        <w:numPr>
          <w:ilvl w:val="0"/>
          <w:numId w:val="7"/>
        </w:numPr>
        <w:rPr>
          <w:b w:val="0"/>
          <w:bCs/>
        </w:rPr>
      </w:pPr>
      <w:r w:rsidRPr="00136ED3">
        <w:rPr>
          <w:b w:val="0"/>
          <w:bCs/>
        </w:rPr>
        <w:t xml:space="preserve">Functional status, </w:t>
      </w:r>
      <w:proofErr w:type="spellStart"/>
      <w:r w:rsidRPr="00136ED3">
        <w:rPr>
          <w:b w:val="0"/>
          <w:bCs/>
        </w:rPr>
        <w:t>ie</w:t>
      </w:r>
      <w:proofErr w:type="spellEnd"/>
      <w:r w:rsidRPr="00136ED3">
        <w:rPr>
          <w:b w:val="0"/>
          <w:bCs/>
        </w:rPr>
        <w:t>, Health Assessment Questionnaire Disability Index (HAQ-DI), if applicable</w:t>
      </w:r>
    </w:p>
    <w:p w14:paraId="0D97101F" w14:textId="109D637B" w:rsidR="00CF05E5" w:rsidRPr="00136ED3" w:rsidRDefault="00CF05E5" w:rsidP="00CF05E5">
      <w:pPr>
        <w:pStyle w:val="BOLDBULLETS"/>
        <w:numPr>
          <w:ilvl w:val="0"/>
          <w:numId w:val="7"/>
        </w:numPr>
        <w:rPr>
          <w:b w:val="0"/>
          <w:bCs/>
        </w:rPr>
      </w:pPr>
      <w:r w:rsidRPr="00136ED3">
        <w:rPr>
          <w:b w:val="0"/>
          <w:bCs/>
        </w:rPr>
        <w:t>Patient co-morbidities</w:t>
      </w:r>
      <w:r w:rsidR="00136ED3">
        <w:rPr>
          <w:b w:val="0"/>
          <w:bCs/>
        </w:rPr>
        <w:t>, including those</w:t>
      </w:r>
      <w:r w:rsidRPr="00136ED3">
        <w:rPr>
          <w:b w:val="0"/>
          <w:bCs/>
        </w:rPr>
        <w:t xml:space="preserve"> that could serve as contraindications to certain other treatments, if applicable</w:t>
      </w:r>
    </w:p>
    <w:p w14:paraId="05414D60" w14:textId="1B9A0B17" w:rsidR="00DA77BF" w:rsidRPr="00981808" w:rsidRDefault="00CF05E5" w:rsidP="00981808">
      <w:pPr>
        <w:pStyle w:val="BOLDBULLETS"/>
        <w:numPr>
          <w:ilvl w:val="0"/>
          <w:numId w:val="7"/>
        </w:numPr>
        <w:rPr>
          <w:b w:val="0"/>
          <w:bCs/>
        </w:rPr>
      </w:pPr>
      <w:r w:rsidRPr="00136ED3">
        <w:rPr>
          <w:b w:val="0"/>
          <w:bCs/>
        </w:rPr>
        <w:t>Summary of your professional opinion of the patient’s likely prognosis or disease progression without treatment with</w:t>
      </w:r>
      <w:r w:rsidR="00981808">
        <w:rPr>
          <w:b w:val="0"/>
          <w:bCs/>
        </w:rPr>
        <w:t xml:space="preserve"> SILIQ</w:t>
      </w:r>
      <w:r w:rsidR="00981808" w:rsidRPr="00981808">
        <w:rPr>
          <w:vertAlign w:val="superscript"/>
        </w:rPr>
        <w:t>®</w:t>
      </w:r>
      <w:r w:rsidR="00BB29C5">
        <w:rPr>
          <w:vertAlign w:val="superscript"/>
        </w:rPr>
        <w:br/>
      </w:r>
    </w:p>
    <w:p w14:paraId="0010DDC4" w14:textId="11F8280D" w:rsidR="00981808" w:rsidRPr="00981808" w:rsidRDefault="00981808" w:rsidP="00981808">
      <w:pPr>
        <w:pStyle w:val="BOLDBULLETS"/>
        <w:rPr>
          <w:b w:val="0"/>
          <w:bCs/>
          <w:i/>
          <w:iCs/>
        </w:rPr>
      </w:pPr>
      <w:r w:rsidRPr="00981808">
        <w:rPr>
          <w:b w:val="0"/>
          <w:bCs/>
          <w:i/>
          <w:iCs/>
        </w:rPr>
        <w:t>Note: exercise your medical judgment and discretion when providing a diagnosis and characterization of the patient’s medical condition.</w:t>
      </w:r>
    </w:p>
    <w:p w14:paraId="2D6C0CF5" w14:textId="60ECC2A7" w:rsidR="00DA77BF" w:rsidRPr="00136ED3" w:rsidRDefault="00DA77BF" w:rsidP="003E6FBB">
      <w:pPr>
        <w:pStyle w:val="BOLDBULLETS"/>
      </w:pPr>
    </w:p>
    <w:p w14:paraId="7051F448" w14:textId="77777777" w:rsidR="00BB29C5" w:rsidRDefault="00BB29C5" w:rsidP="00DA77BF">
      <w:pPr>
        <w:pStyle w:val="BOLDBULLETS"/>
        <w:ind w:left="0" w:firstLine="0"/>
      </w:pPr>
    </w:p>
    <w:p w14:paraId="365A66A3" w14:textId="77777777" w:rsidR="00BB29C5" w:rsidRDefault="00BB29C5" w:rsidP="00DA77BF">
      <w:pPr>
        <w:pStyle w:val="BOLDBULLETS"/>
        <w:ind w:left="0" w:firstLine="0"/>
      </w:pPr>
    </w:p>
    <w:p w14:paraId="046EABA2" w14:textId="77777777" w:rsidR="00BB29C5" w:rsidRDefault="00BB29C5" w:rsidP="00DA77BF">
      <w:pPr>
        <w:pStyle w:val="BOLDBULLETS"/>
        <w:ind w:left="0" w:firstLine="0"/>
      </w:pPr>
    </w:p>
    <w:p w14:paraId="38182514" w14:textId="77777777" w:rsidR="00BB29C5" w:rsidRDefault="00BB29C5" w:rsidP="00DA77BF">
      <w:pPr>
        <w:pStyle w:val="BOLDBULLETS"/>
        <w:ind w:left="0" w:firstLine="0"/>
      </w:pPr>
    </w:p>
    <w:p w14:paraId="40AB3DDF" w14:textId="77777777" w:rsidR="00BB29C5" w:rsidRDefault="00BB29C5" w:rsidP="00DA77BF">
      <w:pPr>
        <w:pStyle w:val="BOLDBULLETS"/>
        <w:ind w:left="0" w:firstLine="0"/>
      </w:pPr>
    </w:p>
    <w:p w14:paraId="0FE6267B" w14:textId="77777777" w:rsidR="00BB29C5" w:rsidRDefault="00BB29C5" w:rsidP="00DA77BF">
      <w:pPr>
        <w:pStyle w:val="BOLDBULLETS"/>
        <w:ind w:left="0" w:firstLine="0"/>
      </w:pPr>
    </w:p>
    <w:p w14:paraId="641F7E65" w14:textId="047176C5" w:rsidR="00FD2AD8" w:rsidRPr="00136ED3" w:rsidRDefault="00FD2AD8" w:rsidP="00DA77BF">
      <w:pPr>
        <w:pStyle w:val="BOLDBULLETS"/>
        <w:ind w:left="0" w:firstLine="0"/>
      </w:pPr>
      <w:r w:rsidRPr="00136ED3">
        <w:lastRenderedPageBreak/>
        <w:t xml:space="preserve">Previously Tried Medications For Plaque </w:t>
      </w:r>
      <w:r w:rsidR="002548CB" w:rsidRPr="00136ED3">
        <w:t>Psoriasis</w:t>
      </w:r>
    </w:p>
    <w:p w14:paraId="357C20C2" w14:textId="77777777" w:rsidR="00FD2AD8" w:rsidRDefault="00FD2AD8" w:rsidP="003E6FBB">
      <w:pPr>
        <w:pStyle w:val="BOLDBULLETS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95"/>
        <w:gridCol w:w="2430"/>
        <w:gridCol w:w="4657"/>
      </w:tblGrid>
      <w:tr w:rsidR="00981808" w14:paraId="1CEAAF08" w14:textId="77777777" w:rsidTr="00981808">
        <w:tc>
          <w:tcPr>
            <w:tcW w:w="2695" w:type="dxa"/>
          </w:tcPr>
          <w:p w14:paraId="216C6B34" w14:textId="2DC6A987" w:rsidR="00981808" w:rsidRDefault="00981808" w:rsidP="003E6FBB">
            <w:pPr>
              <w:pStyle w:val="BOLDBULLETS"/>
              <w:ind w:left="0" w:firstLine="0"/>
            </w:pPr>
            <w:r>
              <w:t>Name</w:t>
            </w:r>
          </w:p>
        </w:tc>
        <w:tc>
          <w:tcPr>
            <w:tcW w:w="2430" w:type="dxa"/>
          </w:tcPr>
          <w:p w14:paraId="57596768" w14:textId="60AAB033" w:rsidR="00981808" w:rsidRDefault="00981808" w:rsidP="003E6FBB">
            <w:pPr>
              <w:pStyle w:val="BOLDBULLETS"/>
              <w:ind w:left="0" w:firstLine="0"/>
            </w:pPr>
            <w:r>
              <w:t>Start Date – Stop Date</w:t>
            </w:r>
          </w:p>
        </w:tc>
        <w:tc>
          <w:tcPr>
            <w:tcW w:w="4657" w:type="dxa"/>
          </w:tcPr>
          <w:p w14:paraId="1BE0DF7E" w14:textId="2AF5C9E5" w:rsidR="00981808" w:rsidRDefault="00981808" w:rsidP="003E6FBB">
            <w:pPr>
              <w:pStyle w:val="BOLDBULLETS"/>
              <w:ind w:left="0" w:firstLine="0"/>
            </w:pPr>
            <w:r w:rsidRPr="00136ED3">
              <w:t>Outcome of Previously Tried Therapy</w:t>
            </w:r>
            <w:r>
              <w:t xml:space="preserve"> or Reason for Stopping Therapy</w:t>
            </w:r>
          </w:p>
        </w:tc>
      </w:tr>
      <w:tr w:rsidR="00981808" w14:paraId="261EFAFF" w14:textId="77777777" w:rsidTr="00981808">
        <w:tc>
          <w:tcPr>
            <w:tcW w:w="2695" w:type="dxa"/>
          </w:tcPr>
          <w:p w14:paraId="7249799B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2430" w:type="dxa"/>
          </w:tcPr>
          <w:p w14:paraId="07CB15E4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4657" w:type="dxa"/>
          </w:tcPr>
          <w:p w14:paraId="15137292" w14:textId="77777777" w:rsidR="00981808" w:rsidRDefault="00981808" w:rsidP="003E6FBB">
            <w:pPr>
              <w:pStyle w:val="BOLDBULLETS"/>
              <w:ind w:left="0" w:firstLine="0"/>
            </w:pPr>
          </w:p>
        </w:tc>
      </w:tr>
      <w:tr w:rsidR="00981808" w14:paraId="7301AA1E" w14:textId="77777777" w:rsidTr="00981808">
        <w:tc>
          <w:tcPr>
            <w:tcW w:w="2695" w:type="dxa"/>
          </w:tcPr>
          <w:p w14:paraId="0D8FC5B5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2430" w:type="dxa"/>
          </w:tcPr>
          <w:p w14:paraId="5FA065A7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4657" w:type="dxa"/>
          </w:tcPr>
          <w:p w14:paraId="27689AA6" w14:textId="77777777" w:rsidR="00981808" w:rsidRDefault="00981808" w:rsidP="003E6FBB">
            <w:pPr>
              <w:pStyle w:val="BOLDBULLETS"/>
              <w:ind w:left="0" w:firstLine="0"/>
            </w:pPr>
          </w:p>
        </w:tc>
      </w:tr>
      <w:tr w:rsidR="00981808" w14:paraId="7B646ED4" w14:textId="77777777" w:rsidTr="00981808">
        <w:tc>
          <w:tcPr>
            <w:tcW w:w="2695" w:type="dxa"/>
          </w:tcPr>
          <w:p w14:paraId="21E83C9B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2430" w:type="dxa"/>
          </w:tcPr>
          <w:p w14:paraId="6569DBF3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4657" w:type="dxa"/>
          </w:tcPr>
          <w:p w14:paraId="2927EAB8" w14:textId="77777777" w:rsidR="00981808" w:rsidRDefault="00981808" w:rsidP="003E6FBB">
            <w:pPr>
              <w:pStyle w:val="BOLDBULLETS"/>
              <w:ind w:left="0" w:firstLine="0"/>
            </w:pPr>
          </w:p>
        </w:tc>
      </w:tr>
      <w:tr w:rsidR="00981808" w14:paraId="687CC34E" w14:textId="77777777" w:rsidTr="00981808">
        <w:tc>
          <w:tcPr>
            <w:tcW w:w="2695" w:type="dxa"/>
          </w:tcPr>
          <w:p w14:paraId="56FCC0FD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2430" w:type="dxa"/>
          </w:tcPr>
          <w:p w14:paraId="39847B0F" w14:textId="77777777" w:rsidR="00981808" w:rsidRDefault="00981808" w:rsidP="003E6FBB">
            <w:pPr>
              <w:pStyle w:val="BOLDBULLETS"/>
              <w:ind w:left="0" w:firstLine="0"/>
            </w:pPr>
          </w:p>
        </w:tc>
        <w:tc>
          <w:tcPr>
            <w:tcW w:w="4657" w:type="dxa"/>
          </w:tcPr>
          <w:p w14:paraId="2A71BD6D" w14:textId="77777777" w:rsidR="00981808" w:rsidRDefault="00981808" w:rsidP="003E6FBB">
            <w:pPr>
              <w:pStyle w:val="BOLDBULLETS"/>
              <w:ind w:left="0" w:firstLine="0"/>
            </w:pPr>
          </w:p>
        </w:tc>
      </w:tr>
    </w:tbl>
    <w:p w14:paraId="19D4A667" w14:textId="77777777" w:rsidR="00FD2AD8" w:rsidRPr="00136ED3" w:rsidRDefault="00FD2AD8" w:rsidP="00981808">
      <w:pPr>
        <w:pStyle w:val="BOLDBULLETS"/>
        <w:ind w:left="0" w:firstLine="0"/>
      </w:pPr>
    </w:p>
    <w:p w14:paraId="62F543C5" w14:textId="77777777" w:rsidR="00BB29C5" w:rsidRDefault="00BB29C5" w:rsidP="00BB29C5">
      <w:pPr>
        <w:pStyle w:val="BOLDBULLETS"/>
      </w:pPr>
      <w:r>
        <w:t>Rationale for Treatment</w:t>
      </w:r>
    </w:p>
    <w:p w14:paraId="46940D4D" w14:textId="77777777" w:rsidR="00BB29C5" w:rsidRDefault="00BB29C5" w:rsidP="00BB29C5">
      <w:pPr>
        <w:pStyle w:val="BOLDBULLETS"/>
        <w:rPr>
          <w:b w:val="0"/>
          <w:bCs/>
        </w:rPr>
      </w:pPr>
    </w:p>
    <w:p w14:paraId="2BA2CF1F" w14:textId="77777777" w:rsidR="00C80976" w:rsidRDefault="00BB29C5" w:rsidP="00BB29C5">
      <w:pPr>
        <w:rPr>
          <w:rFonts w:ascii="Arial" w:hAnsi="Arial" w:cs="Arial"/>
          <w:sz w:val="20"/>
          <w:szCs w:val="20"/>
        </w:rPr>
      </w:pPr>
      <w:r w:rsidRPr="00BB29C5">
        <w:rPr>
          <w:rFonts w:ascii="Arial" w:hAnsi="Arial" w:cs="Arial"/>
          <w:sz w:val="20"/>
          <w:szCs w:val="20"/>
        </w:rPr>
        <w:t xml:space="preserve">[Insert summary statement for rationale for treatment such as: </w:t>
      </w:r>
    </w:p>
    <w:p w14:paraId="12AE9B5E" w14:textId="153EF752" w:rsidR="00BB29C5" w:rsidRPr="001D7581" w:rsidRDefault="00BB29C5" w:rsidP="001D7581">
      <w:pPr>
        <w:rPr>
          <w:rFonts w:ascii="Arial" w:hAnsi="Arial" w:cs="Arial"/>
          <w:sz w:val="20"/>
          <w:szCs w:val="20"/>
        </w:rPr>
      </w:pPr>
      <w:r w:rsidRPr="001D7581">
        <w:rPr>
          <w:rFonts w:ascii="Arial" w:hAnsi="Arial" w:cs="Arial"/>
          <w:sz w:val="20"/>
          <w:szCs w:val="20"/>
        </w:rPr>
        <w:t xml:space="preserve">Considering the patient’s history, condition, and the full Prescribing Information </w:t>
      </w:r>
      <w:r w:rsidR="005A3394" w:rsidRPr="001D7581">
        <w:rPr>
          <w:rFonts w:ascii="Arial" w:hAnsi="Arial" w:cs="Arial"/>
          <w:sz w:val="20"/>
          <w:szCs w:val="20"/>
        </w:rPr>
        <w:t>for</w:t>
      </w:r>
      <w:r w:rsidRPr="001D7581">
        <w:rPr>
          <w:rFonts w:ascii="Arial" w:hAnsi="Arial" w:cs="Arial"/>
          <w:sz w:val="20"/>
          <w:szCs w:val="20"/>
        </w:rPr>
        <w:t xml:space="preserve"> SILIQ</w:t>
      </w:r>
      <w:r w:rsidRPr="001D7581">
        <w:rPr>
          <w:rFonts w:ascii="Arial" w:hAnsi="Arial" w:cs="Arial"/>
          <w:sz w:val="20"/>
          <w:szCs w:val="20"/>
          <w:vertAlign w:val="superscript"/>
        </w:rPr>
        <w:t>®</w:t>
      </w:r>
      <w:r w:rsidRPr="001D7581">
        <w:rPr>
          <w:rFonts w:ascii="Arial" w:hAnsi="Arial" w:cs="Arial"/>
          <w:sz w:val="20"/>
          <w:szCs w:val="20"/>
        </w:rPr>
        <w:t>, I believe treatment with SILIQ</w:t>
      </w:r>
      <w:r w:rsidRPr="001D7581">
        <w:rPr>
          <w:rFonts w:ascii="Arial" w:hAnsi="Arial" w:cs="Arial"/>
          <w:sz w:val="20"/>
          <w:szCs w:val="20"/>
          <w:vertAlign w:val="superscript"/>
        </w:rPr>
        <w:t>®</w:t>
      </w:r>
      <w:r w:rsidRPr="001D7581">
        <w:rPr>
          <w:rFonts w:ascii="Arial" w:hAnsi="Arial" w:cs="Arial"/>
          <w:sz w:val="20"/>
          <w:szCs w:val="20"/>
        </w:rPr>
        <w:t xml:space="preserve"> at this time is medically </w:t>
      </w:r>
      <w:r w:rsidR="00AF49DF" w:rsidRPr="001D7581">
        <w:rPr>
          <w:rFonts w:ascii="Arial" w:hAnsi="Arial" w:cs="Arial"/>
          <w:sz w:val="20"/>
          <w:szCs w:val="20"/>
        </w:rPr>
        <w:t>necessary and</w:t>
      </w:r>
      <w:r w:rsidRPr="001D7581">
        <w:rPr>
          <w:rFonts w:ascii="Arial" w:hAnsi="Arial" w:cs="Arial"/>
          <w:sz w:val="20"/>
          <w:szCs w:val="20"/>
        </w:rPr>
        <w:t xml:space="preserve"> should be a covered and reimbursed service. </w:t>
      </w:r>
    </w:p>
    <w:p w14:paraId="095DDA85" w14:textId="6F2AD1DE" w:rsidR="00BB29C5" w:rsidRPr="00BB29C5" w:rsidRDefault="00BB29C5" w:rsidP="001D7581">
      <w:pPr>
        <w:rPr>
          <w:rFonts w:ascii="Arial" w:hAnsi="Arial" w:cs="Arial"/>
          <w:sz w:val="20"/>
          <w:szCs w:val="20"/>
        </w:rPr>
      </w:pPr>
      <w:r w:rsidRPr="00BB29C5">
        <w:rPr>
          <w:rFonts w:ascii="Arial" w:hAnsi="Arial" w:cs="Arial"/>
          <w:sz w:val="20"/>
          <w:szCs w:val="20"/>
        </w:rPr>
        <w:t xml:space="preserve">You may consider including documents that provide additional clinical information to support the recommendation for </w:t>
      </w:r>
      <w:r w:rsidR="00AF49DF">
        <w:rPr>
          <w:rFonts w:ascii="Arial" w:hAnsi="Arial" w:cs="Arial"/>
          <w:sz w:val="20"/>
          <w:szCs w:val="20"/>
        </w:rPr>
        <w:t>SILIQ</w:t>
      </w:r>
      <w:r w:rsidR="00AF49DF" w:rsidRPr="00DD6BE4">
        <w:rPr>
          <w:rFonts w:ascii="Arial" w:hAnsi="Arial" w:cs="Arial"/>
          <w:sz w:val="20"/>
          <w:szCs w:val="20"/>
          <w:vertAlign w:val="superscript"/>
        </w:rPr>
        <w:t>®</w:t>
      </w:r>
      <w:r w:rsidRPr="00BB29C5">
        <w:rPr>
          <w:rFonts w:ascii="Arial" w:hAnsi="Arial" w:cs="Arial"/>
          <w:sz w:val="20"/>
          <w:szCs w:val="20"/>
        </w:rPr>
        <w:t xml:space="preserve"> for this patient, such as the full Prescribing Information, peer-reviewed journal articles, or clinical guidelines.</w:t>
      </w:r>
      <w:r w:rsidR="001D7581">
        <w:rPr>
          <w:rFonts w:ascii="Arial" w:hAnsi="Arial" w:cs="Arial"/>
          <w:sz w:val="20"/>
          <w:szCs w:val="20"/>
        </w:rPr>
        <w:t xml:space="preserve"> See below for a short list of supporting publications</w:t>
      </w:r>
      <w:r w:rsidRPr="00BB29C5">
        <w:rPr>
          <w:rFonts w:ascii="Arial" w:hAnsi="Arial" w:cs="Arial"/>
          <w:sz w:val="20"/>
          <w:szCs w:val="20"/>
        </w:rPr>
        <w:t xml:space="preserve">] </w:t>
      </w:r>
    </w:p>
    <w:p w14:paraId="7094E061" w14:textId="77777777" w:rsidR="00BB29C5" w:rsidRDefault="00BB29C5" w:rsidP="00BB29C5">
      <w:r w:rsidRPr="00BB29C5">
        <w:rPr>
          <w:rFonts w:ascii="Arial" w:hAnsi="Arial" w:cs="Arial"/>
          <w:sz w:val="20"/>
          <w:szCs w:val="20"/>
        </w:rPr>
        <w:t>[Given the urgent nature of this request,] please provide a timely authorization. Contact my office at [Insert Phone Number] if I can provide you with any additional information.</w:t>
      </w:r>
      <w:r w:rsidRPr="00BB29C5">
        <w:tab/>
      </w:r>
    </w:p>
    <w:p w14:paraId="27255953" w14:textId="77777777" w:rsidR="00BB29C5" w:rsidRPr="00BB29C5" w:rsidRDefault="00BB29C5" w:rsidP="00BB29C5">
      <w:pPr>
        <w:pStyle w:val="BOLDBULLETS"/>
        <w:rPr>
          <w:b w:val="0"/>
          <w:bCs/>
        </w:rPr>
      </w:pPr>
    </w:p>
    <w:p w14:paraId="1A70CEB2" w14:textId="77777777" w:rsidR="00BB29C5" w:rsidRPr="00BB29C5" w:rsidRDefault="00BB29C5" w:rsidP="00BB29C5">
      <w:pPr>
        <w:pStyle w:val="BOLDBULLETS"/>
        <w:rPr>
          <w:b w:val="0"/>
          <w:bCs/>
        </w:rPr>
      </w:pPr>
      <w:r w:rsidRPr="00BB29C5">
        <w:rPr>
          <w:b w:val="0"/>
          <w:bCs/>
        </w:rPr>
        <w:t>Sincerely,</w:t>
      </w:r>
    </w:p>
    <w:p w14:paraId="74B6340A" w14:textId="77777777" w:rsidR="00BB29C5" w:rsidRDefault="00BB29C5" w:rsidP="00BB29C5">
      <w:pPr>
        <w:pStyle w:val="BOLDBULLETS"/>
        <w:rPr>
          <w:b w:val="0"/>
          <w:bCs/>
        </w:rPr>
      </w:pPr>
      <w:r w:rsidRPr="00BB29C5">
        <w:rPr>
          <w:b w:val="0"/>
          <w:bCs/>
        </w:rPr>
        <w:t xml:space="preserve">[Insert Healthcare Provider’s Name and Participating Provider Number] </w:t>
      </w:r>
    </w:p>
    <w:p w14:paraId="22CA4F3A" w14:textId="77777777" w:rsidR="00BC3DE9" w:rsidRPr="00BB29C5" w:rsidRDefault="00BC3DE9" w:rsidP="00BB29C5">
      <w:pPr>
        <w:pStyle w:val="BOLDBULLETS"/>
        <w:rPr>
          <w:b w:val="0"/>
          <w:bCs/>
        </w:rPr>
      </w:pPr>
    </w:p>
    <w:p w14:paraId="0CF75860" w14:textId="77777777" w:rsidR="00BB29C5" w:rsidRDefault="00BB29C5" w:rsidP="00BB29C5">
      <w:pPr>
        <w:pStyle w:val="BOLDBULLETS"/>
        <w:rPr>
          <w:b w:val="0"/>
          <w:bCs/>
        </w:rPr>
      </w:pPr>
      <w:r w:rsidRPr="00BC3DE9">
        <w:rPr>
          <w:rFonts w:ascii="Segoe UI Symbol" w:hAnsi="Segoe UI Symbol" w:cs="Segoe UI Symbol"/>
        </w:rPr>
        <w:t>☐</w:t>
      </w:r>
      <w:r w:rsidRPr="00BB29C5">
        <w:rPr>
          <w:b w:val="0"/>
          <w:bCs/>
        </w:rPr>
        <w:t xml:space="preserve"> If this request is denied, I am requesting an expedited exception review by a professional in my specialty.</w:t>
      </w:r>
    </w:p>
    <w:p w14:paraId="643F6AA3" w14:textId="77777777" w:rsidR="00BC3DE9" w:rsidRPr="00BB29C5" w:rsidRDefault="00BC3DE9" w:rsidP="00BB29C5">
      <w:pPr>
        <w:pStyle w:val="BOLDBULLETS"/>
        <w:rPr>
          <w:b w:val="0"/>
          <w:bCs/>
        </w:rPr>
      </w:pPr>
    </w:p>
    <w:p w14:paraId="0F1A1219" w14:textId="029DA2EA" w:rsidR="00A304F2" w:rsidRDefault="00BB29C5" w:rsidP="00BB29C5">
      <w:pPr>
        <w:pStyle w:val="BOLDBULLETS"/>
        <w:rPr>
          <w:b w:val="0"/>
          <w:bCs/>
        </w:rPr>
      </w:pPr>
      <w:r w:rsidRPr="00BB29C5">
        <w:rPr>
          <w:b w:val="0"/>
          <w:bCs/>
        </w:rPr>
        <w:t>Enclosures [Include full Prescribing Information and the additional support noted above</w:t>
      </w:r>
      <w:r w:rsidR="007928B8">
        <w:rPr>
          <w:b w:val="0"/>
          <w:bCs/>
        </w:rPr>
        <w:t>, including medical records, photos, and peer review articles, if applicable.</w:t>
      </w:r>
      <w:r w:rsidRPr="00BB29C5">
        <w:rPr>
          <w:b w:val="0"/>
          <w:bCs/>
        </w:rPr>
        <w:t>]</w:t>
      </w:r>
    </w:p>
    <w:p w14:paraId="2317930E" w14:textId="77777777" w:rsidR="00FC5154" w:rsidRDefault="00FC5154" w:rsidP="00BB29C5">
      <w:pPr>
        <w:pStyle w:val="BOLDBULLETS"/>
        <w:rPr>
          <w:b w:val="0"/>
          <w:bCs/>
        </w:rPr>
      </w:pPr>
    </w:p>
    <w:p w14:paraId="1AF12AF9" w14:textId="5358BD39" w:rsidR="0037226E" w:rsidRPr="00136ED3" w:rsidRDefault="0037226E" w:rsidP="0037226E">
      <w:pPr>
        <w:pStyle w:val="BOLDTEXT"/>
        <w:rPr>
          <w:szCs w:val="20"/>
        </w:rPr>
      </w:pPr>
      <w:r w:rsidRPr="00136ED3">
        <w:rPr>
          <w:szCs w:val="20"/>
        </w:rPr>
        <w:t>For full Prescribing Information</w:t>
      </w:r>
      <w:r w:rsidR="00D96BB4">
        <w:rPr>
          <w:szCs w:val="20"/>
        </w:rPr>
        <w:t>, visit www.siliq.com</w:t>
      </w:r>
      <w:r w:rsidRPr="00136ED3">
        <w:rPr>
          <w:szCs w:val="20"/>
        </w:rPr>
        <w:t xml:space="preserve"> or call </w:t>
      </w:r>
      <w:r w:rsidR="004E35C3">
        <w:rPr>
          <w:szCs w:val="20"/>
        </w:rPr>
        <w:t xml:space="preserve">Bausch Health </w:t>
      </w:r>
      <w:r w:rsidRPr="00136ED3">
        <w:rPr>
          <w:szCs w:val="20"/>
        </w:rPr>
        <w:t>Medical Information at (877) 361-2719 to request that it be faxed, emailed or mailed instead.</w:t>
      </w:r>
    </w:p>
    <w:p w14:paraId="47EA3DE9" w14:textId="77777777" w:rsidR="00FC5154" w:rsidRPr="00BB29C5" w:rsidRDefault="00FC5154" w:rsidP="00BB29C5">
      <w:pPr>
        <w:pStyle w:val="BOLDBULLETS"/>
        <w:rPr>
          <w:b w:val="0"/>
          <w:bCs/>
        </w:rPr>
      </w:pPr>
    </w:p>
    <w:p w14:paraId="2177E831" w14:textId="1D561436" w:rsidR="00FC5154" w:rsidRPr="00136ED3" w:rsidRDefault="00FC5154" w:rsidP="00FC5154">
      <w:pPr>
        <w:pStyle w:val="BOLDTEXT"/>
        <w:spacing w:after="60"/>
        <w:ind w:right="-288"/>
        <w:rPr>
          <w:szCs w:val="20"/>
        </w:rPr>
      </w:pPr>
      <w:r w:rsidRPr="00136ED3">
        <w:rPr>
          <w:szCs w:val="20"/>
        </w:rPr>
        <w:t>Before prescribing SILIQ, please see Boxed Warning about suicidal ideation and behavior</w:t>
      </w:r>
      <w:r w:rsidR="0037226E">
        <w:rPr>
          <w:szCs w:val="20"/>
        </w:rPr>
        <w:t>, as well as the link to full prescribing information</w:t>
      </w:r>
      <w:r w:rsidRPr="00136ED3">
        <w:rPr>
          <w:szCs w:val="20"/>
        </w:rPr>
        <w:t xml:space="preserve"> below. </w:t>
      </w:r>
    </w:p>
    <w:tbl>
      <w:tblPr>
        <w:tblStyle w:val="TableGrid"/>
        <w:tblW w:w="10080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080"/>
      </w:tblGrid>
      <w:tr w:rsidR="00FC5154" w:rsidRPr="00136ED3" w14:paraId="00C66F9B" w14:textId="77777777" w:rsidTr="00771D53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94F" w14:textId="77777777" w:rsidR="00FC5154" w:rsidRPr="00136ED3" w:rsidRDefault="00FC5154" w:rsidP="00771D53">
            <w:pPr>
              <w:pStyle w:val="BOLDTEXT"/>
              <w:spacing w:before="0"/>
              <w:rPr>
                <w:szCs w:val="20"/>
              </w:rPr>
            </w:pPr>
            <w:r w:rsidRPr="00136ED3">
              <w:rPr>
                <w:szCs w:val="20"/>
              </w:rPr>
              <w:t xml:space="preserve">WARNING: SUICIDAL IDEATION AND BEHAVIOR </w:t>
            </w:r>
          </w:p>
          <w:p w14:paraId="53BBB671" w14:textId="77777777" w:rsidR="00FC5154" w:rsidRPr="00136ED3" w:rsidRDefault="00FC5154" w:rsidP="00771D53">
            <w:pPr>
              <w:pStyle w:val="BOLDTEXT"/>
              <w:spacing w:before="60"/>
              <w:rPr>
                <w:szCs w:val="20"/>
              </w:rPr>
            </w:pPr>
            <w:r w:rsidRPr="00136ED3">
              <w:rPr>
                <w:szCs w:val="20"/>
              </w:rPr>
              <w:t xml:space="preserve">Suicidal ideation and behavior, including completed suicides, have occurred in patients treated </w:t>
            </w:r>
            <w:r w:rsidRPr="00136ED3">
              <w:rPr>
                <w:szCs w:val="20"/>
              </w:rPr>
              <w:br/>
              <w:t xml:space="preserve">with SILIQ. Prior to prescribing SILIQ, weigh the potential risks and benefits in patients with a history </w:t>
            </w:r>
            <w:r w:rsidRPr="00136ED3">
              <w:rPr>
                <w:szCs w:val="20"/>
              </w:rPr>
              <w:br/>
              <w:t xml:space="preserve">of depression and/or suicidal ideation or behavior. Patients with new or worsening suicidal ideation </w:t>
            </w:r>
            <w:r w:rsidRPr="00136ED3">
              <w:rPr>
                <w:szCs w:val="20"/>
              </w:rPr>
              <w:br/>
              <w:t xml:space="preserve">and behavior should be referred to a mental health professional, as appropriate. Advise patients and caregivers to seek medical attention for manifestations of suicidal ideation or behavior, new onset or worsening depression, anxiety, or other mood changes [see Warnings and Precautions in the full Prescribing Information]. </w:t>
            </w:r>
          </w:p>
          <w:p w14:paraId="6352F679" w14:textId="77777777" w:rsidR="00FC5154" w:rsidRPr="00136ED3" w:rsidRDefault="00FC5154" w:rsidP="00771D53">
            <w:pPr>
              <w:pStyle w:val="BOLDTEXT"/>
              <w:spacing w:before="60"/>
              <w:rPr>
                <w:szCs w:val="20"/>
              </w:rPr>
            </w:pPr>
            <w:r w:rsidRPr="00136ED3">
              <w:rPr>
                <w:szCs w:val="20"/>
              </w:rPr>
              <w:t xml:space="preserve">Because of the observed suicidal behavior in subjects treated with SILIQ, SILIQ is available only </w:t>
            </w:r>
            <w:r w:rsidRPr="00136ED3">
              <w:rPr>
                <w:szCs w:val="20"/>
              </w:rPr>
              <w:br/>
              <w:t xml:space="preserve">through a restricted program under a Risk Evaluation and Mitigation Strategy (REMS) called the </w:t>
            </w:r>
            <w:r w:rsidRPr="00136ED3">
              <w:rPr>
                <w:szCs w:val="20"/>
              </w:rPr>
              <w:br/>
              <w:t xml:space="preserve">SILIQ REMS Program [see Warnings and Precautions in the full Prescribing Information].  </w:t>
            </w:r>
          </w:p>
        </w:tc>
      </w:tr>
    </w:tbl>
    <w:p w14:paraId="6EA846CF" w14:textId="77777777" w:rsidR="00BB29C5" w:rsidRDefault="00BB29C5" w:rsidP="00BB29C5">
      <w:pPr>
        <w:pStyle w:val="BOLDBULLETS"/>
      </w:pPr>
    </w:p>
    <w:p w14:paraId="5774ACE4" w14:textId="77777777" w:rsidR="00BB29C5" w:rsidRDefault="00BB29C5" w:rsidP="00BB29C5">
      <w:pPr>
        <w:pStyle w:val="BOLDBULLETS"/>
      </w:pPr>
    </w:p>
    <w:p w14:paraId="5503BD66" w14:textId="0055E924" w:rsidR="002415B4" w:rsidRDefault="002415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8ED75B" w14:textId="77777777" w:rsidR="00224034" w:rsidRDefault="0022403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263F69A0" w14:textId="7926DA3A" w:rsidR="002415B4" w:rsidRPr="00BC2C91" w:rsidRDefault="006219CB" w:rsidP="008775F6">
      <w:pPr>
        <w:rPr>
          <w:rFonts w:ascii="Arial" w:hAnsi="Arial" w:cs="Arial"/>
          <w:i/>
          <w:iCs/>
          <w:sz w:val="20"/>
          <w:szCs w:val="20"/>
        </w:rPr>
      </w:pPr>
      <w:r w:rsidRPr="00BC2C91">
        <w:rPr>
          <w:rFonts w:ascii="Arial" w:hAnsi="Arial" w:cs="Arial"/>
          <w:i/>
          <w:iCs/>
          <w:sz w:val="20"/>
          <w:szCs w:val="20"/>
        </w:rPr>
        <w:lastRenderedPageBreak/>
        <w:t xml:space="preserve">For your </w:t>
      </w:r>
      <w:r w:rsidR="008775F6" w:rsidRPr="00BC2C91">
        <w:rPr>
          <w:rFonts w:ascii="Arial" w:hAnsi="Arial" w:cs="Arial"/>
          <w:i/>
          <w:iCs/>
          <w:sz w:val="20"/>
          <w:szCs w:val="20"/>
        </w:rPr>
        <w:t>convenience</w:t>
      </w:r>
      <w:r w:rsidRPr="00BC2C91">
        <w:rPr>
          <w:rFonts w:ascii="Arial" w:hAnsi="Arial" w:cs="Arial"/>
          <w:i/>
          <w:iCs/>
          <w:sz w:val="20"/>
          <w:szCs w:val="20"/>
        </w:rPr>
        <w:t xml:space="preserve">, </w:t>
      </w:r>
      <w:r w:rsidR="008775F6" w:rsidRPr="00BC2C91">
        <w:rPr>
          <w:rFonts w:ascii="Arial" w:hAnsi="Arial" w:cs="Arial"/>
          <w:i/>
          <w:iCs/>
          <w:sz w:val="20"/>
          <w:szCs w:val="20"/>
        </w:rPr>
        <w:t xml:space="preserve">below is a short </w:t>
      </w:r>
      <w:r w:rsidR="000E7DC5" w:rsidRPr="00BC2C91">
        <w:rPr>
          <w:rFonts w:ascii="Arial" w:hAnsi="Arial" w:cs="Arial"/>
          <w:i/>
          <w:iCs/>
          <w:sz w:val="20"/>
          <w:szCs w:val="20"/>
        </w:rPr>
        <w:t xml:space="preserve">list of </w:t>
      </w:r>
      <w:r w:rsidRPr="00BC2C91">
        <w:rPr>
          <w:rFonts w:ascii="Arial" w:hAnsi="Arial" w:cs="Arial"/>
          <w:i/>
          <w:iCs/>
          <w:sz w:val="20"/>
          <w:szCs w:val="20"/>
        </w:rPr>
        <w:t xml:space="preserve">peer-reviewed literature that you may consider </w:t>
      </w:r>
      <w:r w:rsidR="009A4F28">
        <w:rPr>
          <w:rFonts w:ascii="Arial" w:hAnsi="Arial" w:cs="Arial"/>
          <w:i/>
          <w:iCs/>
          <w:sz w:val="20"/>
          <w:szCs w:val="20"/>
        </w:rPr>
        <w:t>including</w:t>
      </w:r>
      <w:r w:rsidR="008517AF">
        <w:rPr>
          <w:rFonts w:ascii="Arial" w:hAnsi="Arial" w:cs="Arial"/>
          <w:i/>
          <w:iCs/>
          <w:sz w:val="20"/>
          <w:szCs w:val="20"/>
        </w:rPr>
        <w:t xml:space="preserve"> with your medical necessity letter, </w:t>
      </w:r>
      <w:r w:rsidR="000E7DC5" w:rsidRPr="00BC2C91">
        <w:rPr>
          <w:rFonts w:ascii="Arial" w:hAnsi="Arial" w:cs="Arial"/>
          <w:i/>
          <w:iCs/>
          <w:sz w:val="20"/>
          <w:szCs w:val="20"/>
        </w:rPr>
        <w:t>as supporting evidence</w:t>
      </w:r>
      <w:r w:rsidR="009A4F28">
        <w:rPr>
          <w:rFonts w:ascii="Arial" w:hAnsi="Arial" w:cs="Arial"/>
          <w:i/>
          <w:iCs/>
          <w:sz w:val="20"/>
          <w:szCs w:val="20"/>
        </w:rPr>
        <w:t xml:space="preserve"> given the appropriate patient case</w:t>
      </w:r>
      <w:r w:rsidR="000E7DC5" w:rsidRPr="00BC2C91">
        <w:rPr>
          <w:rFonts w:ascii="Arial" w:hAnsi="Arial" w:cs="Arial"/>
          <w:i/>
          <w:iCs/>
          <w:sz w:val="20"/>
          <w:szCs w:val="20"/>
        </w:rPr>
        <w:t>. The literature below describe data that is consistent with FDA</w:t>
      </w:r>
      <w:r w:rsidR="00740130" w:rsidRPr="00BC2C91">
        <w:rPr>
          <w:rFonts w:ascii="Arial" w:hAnsi="Arial" w:cs="Arial"/>
          <w:i/>
          <w:iCs/>
          <w:sz w:val="20"/>
          <w:szCs w:val="20"/>
        </w:rPr>
        <w:t xml:space="preserve"> required </w:t>
      </w:r>
      <w:r w:rsidR="00ED4887" w:rsidRPr="00BC2C91">
        <w:rPr>
          <w:rFonts w:ascii="Arial" w:hAnsi="Arial" w:cs="Arial"/>
          <w:i/>
          <w:iCs/>
          <w:sz w:val="20"/>
          <w:szCs w:val="20"/>
        </w:rPr>
        <w:t xml:space="preserve">label </w:t>
      </w:r>
      <w:r w:rsidR="009A4F28">
        <w:rPr>
          <w:rFonts w:ascii="Arial" w:hAnsi="Arial" w:cs="Arial"/>
          <w:i/>
          <w:iCs/>
          <w:sz w:val="20"/>
          <w:szCs w:val="20"/>
        </w:rPr>
        <w:t>and</w:t>
      </w:r>
      <w:r w:rsidR="00ED4887" w:rsidRPr="00BC2C91">
        <w:rPr>
          <w:rFonts w:ascii="Arial" w:hAnsi="Arial" w:cs="Arial"/>
          <w:i/>
          <w:iCs/>
          <w:sz w:val="20"/>
          <w:szCs w:val="20"/>
        </w:rPr>
        <w:t xml:space="preserve"> supplemental to the </w:t>
      </w:r>
      <w:r w:rsidR="00BC2C91" w:rsidRPr="00BC2C91">
        <w:rPr>
          <w:rFonts w:ascii="Arial" w:hAnsi="Arial" w:cs="Arial"/>
          <w:i/>
          <w:iCs/>
          <w:sz w:val="20"/>
          <w:szCs w:val="20"/>
        </w:rPr>
        <w:t xml:space="preserve">data described from </w:t>
      </w:r>
      <w:r w:rsidR="00ED4887" w:rsidRPr="00BC2C91">
        <w:rPr>
          <w:rFonts w:ascii="Arial" w:hAnsi="Arial" w:cs="Arial"/>
          <w:i/>
          <w:iCs/>
          <w:sz w:val="20"/>
          <w:szCs w:val="20"/>
        </w:rPr>
        <w:t xml:space="preserve">pivotal phase </w:t>
      </w:r>
      <w:r w:rsidR="00BC2C91" w:rsidRPr="00BC2C91">
        <w:rPr>
          <w:rFonts w:ascii="Arial" w:hAnsi="Arial" w:cs="Arial"/>
          <w:i/>
          <w:iCs/>
          <w:sz w:val="20"/>
          <w:szCs w:val="20"/>
        </w:rPr>
        <w:t>3 trials</w:t>
      </w:r>
      <w:r w:rsidR="009A4F28">
        <w:rPr>
          <w:rFonts w:ascii="Arial" w:hAnsi="Arial" w:cs="Arial"/>
          <w:i/>
          <w:iCs/>
          <w:sz w:val="20"/>
          <w:szCs w:val="20"/>
        </w:rPr>
        <w:t xml:space="preserve"> in the prescribing information</w:t>
      </w:r>
      <w:r w:rsidR="00BC2C91" w:rsidRPr="00BC2C91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37EF9A79" w14:textId="14172DDB" w:rsidR="00D54D86" w:rsidRPr="00136ED3" w:rsidRDefault="0003364E" w:rsidP="003E6FBB">
      <w:pPr>
        <w:pStyle w:val="TEXT"/>
        <w:rPr>
          <w:rFonts w:eastAsia="Calibri"/>
          <w:b/>
          <w:bCs/>
          <w:color w:val="000000"/>
        </w:rPr>
      </w:pPr>
      <w:sdt>
        <w:sdtPr>
          <w:rPr>
            <w:color w:val="FF0000"/>
          </w:rPr>
          <w:id w:val="-880319482"/>
        </w:sdtPr>
        <w:sdtEndPr/>
        <w:sdtContent>
          <w:r w:rsidR="00D54D86" w:rsidRPr="003D1332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D54D86" w:rsidRPr="00136ED3">
        <w:rPr>
          <w:color w:val="FF0000"/>
        </w:rPr>
        <w:t xml:space="preserve"> </w:t>
      </w:r>
      <w:r w:rsidR="00D54D86" w:rsidRPr="00136ED3">
        <w:rPr>
          <w:rFonts w:eastAsia="Calibri"/>
          <w:b/>
          <w:bCs/>
          <w:color w:val="000000"/>
        </w:rPr>
        <w:t>Mechanism of Action</w:t>
      </w:r>
    </w:p>
    <w:p w14:paraId="2C7F84EC" w14:textId="77777777" w:rsidR="0020124E" w:rsidRDefault="00C2025E" w:rsidP="00C2025E">
      <w:pPr>
        <w:pStyle w:val="TEXT"/>
      </w:pPr>
      <w:r w:rsidRPr="00136ED3">
        <w:t>SILIQ is the only commercially available drug that is an IL-17RA blocker. SILIQ is a human monoclonal IgG2 antibody and the only treatment option that selectively binds to human IL-17RA subtype with high affinity and inhibits its interactions with cytokines IL-17A, IL-17F, IL-17C. IL-17A/F heterodimer, and IL-25 to inhibit the release of pro-inflammatory cytokines and chemokines</w:t>
      </w:r>
      <w:r w:rsidR="002D4A19" w:rsidRPr="00136ED3">
        <w:rPr>
          <w:vertAlign w:val="superscript"/>
        </w:rPr>
        <w:t>1</w:t>
      </w:r>
      <w:r w:rsidR="002D4A19" w:rsidRPr="00136ED3">
        <w:t>.</w:t>
      </w:r>
      <w:r w:rsidR="00D7047B">
        <w:t xml:space="preserve"> </w:t>
      </w:r>
    </w:p>
    <w:p w14:paraId="7879038A" w14:textId="459875C8" w:rsidR="008D049B" w:rsidRDefault="00A66556" w:rsidP="00C2025E">
      <w:pPr>
        <w:pStyle w:val="TEXT"/>
      </w:pPr>
      <w:r>
        <w:t>Russel et al. in a</w:t>
      </w:r>
      <w:r w:rsidR="00D7047B" w:rsidRPr="00D7047B">
        <w:t xml:space="preserve"> 2014 stud</w:t>
      </w:r>
      <w:r w:rsidR="00E00E20">
        <w:t>y</w:t>
      </w:r>
      <w:r>
        <w:t>,</w:t>
      </w:r>
      <w:r w:rsidR="00E00E20">
        <w:t xml:space="preserve"> examined the genetic changes in 25 patients</w:t>
      </w:r>
      <w:r w:rsidR="00E00E20" w:rsidRPr="00E00E20">
        <w:t xml:space="preserve"> </w:t>
      </w:r>
      <w:r w:rsidR="00E00E20" w:rsidRPr="00843B8A">
        <w:t>with moderate to severe plaque psoriasis w</w:t>
      </w:r>
      <w:r w:rsidR="00E00E20">
        <w:t>ho were</w:t>
      </w:r>
      <w:r w:rsidR="00E00E20" w:rsidRPr="00843B8A">
        <w:t xml:space="preserve"> treated with a single dose of brodalumab (n = 4, 140mg </w:t>
      </w:r>
      <w:proofErr w:type="spellStart"/>
      <w:r w:rsidR="00E00E20" w:rsidRPr="00843B8A">
        <w:t>s.c</w:t>
      </w:r>
      <w:proofErr w:type="spellEnd"/>
      <w:r w:rsidR="00E00E20">
        <w:t>;</w:t>
      </w:r>
      <w:r w:rsidR="00E00E20" w:rsidRPr="00843B8A">
        <w:t xml:space="preserve"> n = 8, 350mg </w:t>
      </w:r>
      <w:proofErr w:type="spellStart"/>
      <w:r w:rsidR="00E00E20" w:rsidRPr="00843B8A">
        <w:t>s</w:t>
      </w:r>
      <w:r w:rsidR="008D3081">
        <w:t>.c.</w:t>
      </w:r>
      <w:proofErr w:type="spellEnd"/>
      <w:r w:rsidR="00E00E20" w:rsidRPr="00843B8A">
        <w:t xml:space="preserve">; n = 8, 700mg </w:t>
      </w:r>
      <w:proofErr w:type="spellStart"/>
      <w:r w:rsidR="00E00E20" w:rsidRPr="00843B8A">
        <w:t>i.v.</w:t>
      </w:r>
      <w:proofErr w:type="spellEnd"/>
      <w:r w:rsidR="00E00E20" w:rsidRPr="00843B8A">
        <w:t>) or placebo (n = 5).</w:t>
      </w:r>
      <w:r w:rsidR="00AF2E08">
        <w:t xml:space="preserve"> </w:t>
      </w:r>
      <w:r w:rsidR="00AF2E08" w:rsidRPr="00D7047B">
        <w:t xml:space="preserve">Biopsies were obtained from </w:t>
      </w:r>
      <w:r w:rsidR="00AF2E08">
        <w:t xml:space="preserve">lesional and non-lesional skin in each </w:t>
      </w:r>
      <w:r w:rsidR="001C1A17" w:rsidRPr="00D7047B">
        <w:t>patient</w:t>
      </w:r>
      <w:r w:rsidR="00AF2E08" w:rsidRPr="00D7047B">
        <w:t xml:space="preserve"> and analyzed for histology and RNA expression.</w:t>
      </w:r>
      <w:r w:rsidR="000C4A93">
        <w:t xml:space="preserve"> </w:t>
      </w:r>
      <w:r w:rsidR="008D049B" w:rsidRPr="008D049B">
        <w:t xml:space="preserve">Thousands of aberrantly expressed genes in lesional skin normalized within 2 weeks following brodalumab treatment, </w:t>
      </w:r>
      <w:r w:rsidR="008D049B">
        <w:t>when compared to</w:t>
      </w:r>
      <w:r w:rsidR="008D049B" w:rsidRPr="008D049B">
        <w:t xml:space="preserve"> </w:t>
      </w:r>
      <w:r w:rsidR="00B07ABE">
        <w:t>the</w:t>
      </w:r>
      <w:r w:rsidR="008D049B" w:rsidRPr="008D049B">
        <w:t xml:space="preserve"> psoriasis transcriptome seen in non</w:t>
      </w:r>
      <w:r w:rsidR="008D049B">
        <w:t>-</w:t>
      </w:r>
      <w:r w:rsidR="008D049B" w:rsidRPr="008D049B">
        <w:t>lesional skin.</w:t>
      </w:r>
      <w:r w:rsidR="004B74A4" w:rsidRPr="004B74A4">
        <w:t xml:space="preserve"> Keratinocyte- expressed genes appeared to normalize</w:t>
      </w:r>
      <w:r w:rsidR="001C1A17">
        <w:t xml:space="preserve"> in 2 weeks</w:t>
      </w:r>
      <w:r w:rsidR="004B74A4" w:rsidRPr="004B74A4">
        <w:t>, whereas T cell–speciﬁc normalization occurred over six weeks. The three IL-17 ligand genes that are upregulated in lesional skin, IL17A, IL17C, and IL17F, were all downregulated in a dose-dependent manner following brodalumab treatment</w:t>
      </w:r>
      <w:r w:rsidR="00AF2495" w:rsidRPr="00AF2495">
        <w:rPr>
          <w:vertAlign w:val="superscript"/>
        </w:rPr>
        <w:t>2</w:t>
      </w:r>
      <w:r w:rsidR="004B74A4" w:rsidRPr="004B74A4">
        <w:t>.</w:t>
      </w:r>
      <w:r w:rsidR="002A71E6">
        <w:t xml:space="preserve"> </w:t>
      </w:r>
    </w:p>
    <w:p w14:paraId="552B0D34" w14:textId="4EAFB3FB" w:rsidR="00C2025E" w:rsidRDefault="00E945F4" w:rsidP="00C2025E">
      <w:pPr>
        <w:pStyle w:val="TEXT"/>
      </w:pPr>
      <w:r>
        <w:t xml:space="preserve">In a narrative review, </w:t>
      </w:r>
      <w:r w:rsidR="0065717C">
        <w:t>A</w:t>
      </w:r>
      <w:r w:rsidR="00030EEA">
        <w:t xml:space="preserve">rmstrong et al. discuss </w:t>
      </w:r>
      <w:proofErr w:type="spellStart"/>
      <w:r w:rsidR="005A1D05">
        <w:t>brodalumab’s</w:t>
      </w:r>
      <w:proofErr w:type="spellEnd"/>
      <w:r w:rsidR="00030EEA">
        <w:t xml:space="preserve"> unique mechanism of action that targets the IL17 receptor, thus impacting multiple cytokines</w:t>
      </w:r>
      <w:r w:rsidR="00D023D5">
        <w:t xml:space="preserve">. </w:t>
      </w:r>
      <w:r w:rsidR="003F4127">
        <w:t>The paper stat</w:t>
      </w:r>
      <w:r w:rsidR="00D023D5">
        <w:t>e</w:t>
      </w:r>
      <w:r w:rsidR="003F4127">
        <w:t xml:space="preserve">s that although </w:t>
      </w:r>
      <w:r w:rsidR="003522F7">
        <w:t xml:space="preserve">multiple biologics target IL-17A are available for psoriasis treatment, patients may lack or lose response to these </w:t>
      </w:r>
      <w:r w:rsidR="00B62344">
        <w:t>treatments</w:t>
      </w:r>
      <w:r w:rsidR="003522F7">
        <w:t xml:space="preserve">, </w:t>
      </w:r>
      <w:r w:rsidR="00B62344">
        <w:t>potentially</w:t>
      </w:r>
      <w:r w:rsidR="003522F7">
        <w:t xml:space="preserve"> </w:t>
      </w:r>
      <w:r w:rsidR="00B62344">
        <w:t>because</w:t>
      </w:r>
      <w:r w:rsidR="003522F7">
        <w:t xml:space="preserve"> of the overexpression of multiple I</w:t>
      </w:r>
      <w:r w:rsidR="00CB7E81">
        <w:t>L</w:t>
      </w:r>
      <w:r w:rsidR="003522F7">
        <w:t>-17 family members and functional redundancy among IL-17 cytokines</w:t>
      </w:r>
      <w:r w:rsidR="002A71E6" w:rsidRPr="002A71E6">
        <w:rPr>
          <w:vertAlign w:val="superscript"/>
        </w:rPr>
        <w:t>3</w:t>
      </w:r>
      <w:r w:rsidR="003522F7">
        <w:t xml:space="preserve">. </w:t>
      </w:r>
    </w:p>
    <w:p w14:paraId="546A03AC" w14:textId="125FC760" w:rsidR="00D10C08" w:rsidRPr="00D10C08" w:rsidRDefault="00D10C08" w:rsidP="00C2025E">
      <w:pPr>
        <w:pStyle w:val="TEXT"/>
      </w:pPr>
      <w:r w:rsidRPr="00D10C08">
        <w:t xml:space="preserve">Please see full articles for more information. </w:t>
      </w:r>
      <w:r w:rsidRPr="00D10C08">
        <w:br/>
      </w:r>
    </w:p>
    <w:p w14:paraId="3F274A3B" w14:textId="2A0D09A9" w:rsidR="0011743F" w:rsidRDefault="0011743F" w:rsidP="00B3371F">
      <w:pPr>
        <w:pStyle w:val="ListParagraph"/>
        <w:numPr>
          <w:ilvl w:val="0"/>
          <w:numId w:val="12"/>
        </w:numPr>
      </w:pPr>
      <w:r w:rsidRPr="00136ED3">
        <w:t xml:space="preserve">SILIQ [prescribing information]. Bridgewater, NJ: Bausch Health US, LLC. </w:t>
      </w:r>
    </w:p>
    <w:p w14:paraId="5ACF4644" w14:textId="003563A0" w:rsidR="00D7047B" w:rsidRDefault="00B3371F" w:rsidP="00B3371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3371F">
        <w:rPr>
          <w:rFonts w:ascii="Arial" w:hAnsi="Arial" w:cs="Arial"/>
          <w:sz w:val="20"/>
          <w:szCs w:val="20"/>
        </w:rPr>
        <w:t xml:space="preserve">Russell C B et al. </w:t>
      </w:r>
      <w:r w:rsidRPr="00B3371F">
        <w:rPr>
          <w:rFonts w:ascii="Arial" w:hAnsi="Arial" w:cs="Arial"/>
          <w:i/>
          <w:iCs/>
          <w:sz w:val="20"/>
          <w:szCs w:val="20"/>
        </w:rPr>
        <w:t>J Immunol.</w:t>
      </w:r>
      <w:r w:rsidRPr="00B3371F">
        <w:rPr>
          <w:rFonts w:ascii="Arial" w:hAnsi="Arial" w:cs="Arial"/>
          <w:sz w:val="20"/>
          <w:szCs w:val="20"/>
        </w:rPr>
        <w:t xml:space="preserve"> 2014;192(8):3828-2836</w:t>
      </w:r>
    </w:p>
    <w:p w14:paraId="31AFC435" w14:textId="7DFFE47D" w:rsidR="004862FF" w:rsidRPr="004862FF" w:rsidRDefault="004862FF" w:rsidP="004862FF">
      <w:pPr>
        <w:pStyle w:val="ListParagraph"/>
        <w:numPr>
          <w:ilvl w:val="0"/>
          <w:numId w:val="12"/>
        </w:numPr>
      </w:pPr>
      <w:r w:rsidRPr="004862FF">
        <w:rPr>
          <w:rFonts w:ascii="Arial" w:hAnsi="Arial" w:cs="Arial"/>
          <w:sz w:val="20"/>
          <w:szCs w:val="20"/>
        </w:rPr>
        <w:t xml:space="preserve">Armstrong A, </w:t>
      </w:r>
      <w:r>
        <w:rPr>
          <w:rFonts w:ascii="Arial" w:hAnsi="Arial" w:cs="Arial"/>
          <w:sz w:val="20"/>
          <w:szCs w:val="20"/>
        </w:rPr>
        <w:t xml:space="preserve">et al. </w:t>
      </w:r>
      <w:r w:rsidRPr="004862FF">
        <w:rPr>
          <w:rFonts w:ascii="Arial" w:hAnsi="Arial" w:cs="Arial"/>
          <w:i/>
          <w:iCs/>
          <w:sz w:val="20"/>
          <w:szCs w:val="20"/>
        </w:rPr>
        <w:t>J Drugs Dermatol.</w:t>
      </w:r>
      <w:r w:rsidRPr="004862FF">
        <w:rPr>
          <w:rFonts w:ascii="Arial" w:hAnsi="Arial" w:cs="Arial"/>
          <w:sz w:val="20"/>
          <w:szCs w:val="20"/>
        </w:rPr>
        <w:t xml:space="preserve"> 2023 Oct 1;22(10):994-1000. </w:t>
      </w:r>
    </w:p>
    <w:p w14:paraId="206DBC9D" w14:textId="2955A7C8" w:rsidR="00D54D86" w:rsidRPr="00136ED3" w:rsidRDefault="0003364E" w:rsidP="004862FF">
      <w:sdt>
        <w:sdtPr>
          <w:rPr>
            <w:color w:val="FF0000"/>
          </w:rPr>
          <w:id w:val="-611891376"/>
        </w:sdtPr>
        <w:sdtEndPr/>
        <w:sdtContent>
          <w:r w:rsidR="00D54D86" w:rsidRPr="004862FF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D54D86" w:rsidRPr="004862FF">
        <w:rPr>
          <w:color w:val="FF0000"/>
        </w:rPr>
        <w:t xml:space="preserve"> </w:t>
      </w:r>
      <w:r w:rsidR="00300CA4" w:rsidRPr="004862FF">
        <w:rPr>
          <w:rFonts w:eastAsia="Calibri"/>
          <w:b/>
          <w:bCs/>
          <w:color w:val="000000"/>
        </w:rPr>
        <w:t xml:space="preserve">SILIQ </w:t>
      </w:r>
      <w:r w:rsidR="00FA268C">
        <w:rPr>
          <w:rFonts w:eastAsia="Calibri"/>
          <w:b/>
          <w:bCs/>
          <w:color w:val="000000"/>
        </w:rPr>
        <w:t>Efficacy in Patients with Prior Biologic</w:t>
      </w:r>
      <w:r w:rsidR="00A736A2">
        <w:rPr>
          <w:rFonts w:eastAsia="Calibri"/>
          <w:b/>
          <w:bCs/>
          <w:color w:val="000000"/>
        </w:rPr>
        <w:t xml:space="preserve"> Treatment</w:t>
      </w:r>
      <w:r w:rsidR="00FA268C">
        <w:rPr>
          <w:rFonts w:eastAsia="Calibri"/>
          <w:b/>
          <w:bCs/>
          <w:color w:val="000000"/>
        </w:rPr>
        <w:t xml:space="preserve"> Failure</w:t>
      </w:r>
      <w:r w:rsidR="00D54D86" w:rsidRPr="004862FF">
        <w:rPr>
          <w:rFonts w:eastAsia="Calibri"/>
          <w:b/>
          <w:bCs/>
          <w:color w:val="000000"/>
        </w:rPr>
        <w:t xml:space="preserve"> </w:t>
      </w:r>
    </w:p>
    <w:p w14:paraId="52738615" w14:textId="738908E8" w:rsidR="00A5776A" w:rsidRPr="00136ED3" w:rsidRDefault="009E13BB" w:rsidP="00007FD2">
      <w:pPr>
        <w:pStyle w:val="TEXT"/>
      </w:pPr>
      <w:r w:rsidRPr="00136ED3">
        <w:t xml:space="preserve">In a post-hoc analysis of two phase 3 trials from </w:t>
      </w:r>
      <w:r w:rsidR="0074026B" w:rsidRPr="00136ED3">
        <w:t>the subgroup of patients</w:t>
      </w:r>
      <w:r w:rsidR="00F50AC5" w:rsidRPr="00136ED3">
        <w:t xml:space="preserve"> who reported failing on TNF-alpha inhibitor therapy</w:t>
      </w:r>
      <w:r w:rsidR="00D35CC6" w:rsidRPr="00136ED3">
        <w:t xml:space="preserve"> </w:t>
      </w:r>
      <w:r w:rsidR="00F50AC5" w:rsidRPr="00136ED3">
        <w:t>prior to entering the study (n=150) at week 12, 63% were able to obtain a PASI 90 response, and 32% became totally clear with SILIQ</w:t>
      </w:r>
      <w:r w:rsidR="00F50AC5" w:rsidRPr="00136ED3">
        <w:rPr>
          <w:vertAlign w:val="superscript"/>
        </w:rPr>
        <w:t>3</w:t>
      </w:r>
      <w:r w:rsidR="00F50AC5" w:rsidRPr="00136ED3">
        <w:t>.</w:t>
      </w:r>
      <w:r w:rsidR="0074026B" w:rsidRPr="00136ED3">
        <w:t xml:space="preserve"> </w:t>
      </w:r>
      <w:r w:rsidR="00A5776A" w:rsidRPr="00136ED3">
        <w:t>Treatment failure was defined as either a primary (lack of efficacy) or secondary (loss of efficacy) failure or</w:t>
      </w:r>
      <w:r w:rsidR="00FF2C0B" w:rsidRPr="00136ED3">
        <w:t xml:space="preserve"> </w:t>
      </w:r>
      <w:r w:rsidR="00A5776A" w:rsidRPr="00136ED3">
        <w:t>the development of an intol</w:t>
      </w:r>
      <w:r w:rsidR="00FF2C0B" w:rsidRPr="00136ED3">
        <w:t>erance to the biologic agent</w:t>
      </w:r>
      <w:r w:rsidR="00480CC9" w:rsidRPr="00480CC9">
        <w:rPr>
          <w:vertAlign w:val="superscript"/>
        </w:rPr>
        <w:t>4</w:t>
      </w:r>
      <w:r w:rsidR="00FF2C0B" w:rsidRPr="00136ED3">
        <w:t xml:space="preserve">. </w:t>
      </w:r>
    </w:p>
    <w:p w14:paraId="372737A9" w14:textId="69A11EEE" w:rsidR="00FD4188" w:rsidRPr="00136ED3" w:rsidRDefault="00C941A9" w:rsidP="003E6FBB">
      <w:pPr>
        <w:pStyle w:val="TEXT"/>
      </w:pPr>
      <w:r>
        <w:t>A</w:t>
      </w:r>
      <w:r w:rsidR="00C40139">
        <w:t>n</w:t>
      </w:r>
      <w:r w:rsidR="00FF2C0B" w:rsidRPr="00136ED3">
        <w:t xml:space="preserve"> open-label study </w:t>
      </w:r>
      <w:r w:rsidR="001E0D21">
        <w:t xml:space="preserve">evaluated the efficacy of brodalumab treatment in </w:t>
      </w:r>
      <w:r w:rsidR="00FF2C0B" w:rsidRPr="00136ED3">
        <w:t xml:space="preserve">39 patients at three sites who had previously failed treatment with </w:t>
      </w:r>
      <w:proofErr w:type="spellStart"/>
      <w:r w:rsidR="00FF2C0B" w:rsidRPr="00136ED3">
        <w:t>ixekizumab</w:t>
      </w:r>
      <w:proofErr w:type="spellEnd"/>
      <w:r w:rsidR="00FF2C0B" w:rsidRPr="00136ED3">
        <w:t xml:space="preserve"> (N=19; 49%) or secukinumab (N=16; 41%)</w:t>
      </w:r>
      <w:r w:rsidR="00C40139">
        <w:t>;</w:t>
      </w:r>
      <w:r w:rsidR="00FF2C0B" w:rsidRPr="00136ED3">
        <w:t xml:space="preserve"> </w:t>
      </w:r>
      <w:r w:rsidR="00C40139">
        <w:t>f</w:t>
      </w:r>
      <w:r w:rsidR="00FF2C0B" w:rsidRPr="00136ED3">
        <w:t xml:space="preserve">ailure was defined </w:t>
      </w:r>
      <w:r w:rsidR="00347EAF" w:rsidRPr="00136ED3">
        <w:t>as not achieving 75% clearance after 3 months of treatment or a 50% loss of original improvement. Among those patients, at week 16, 44% were able to obtain 90% clearance with SILIQ, and 28% were able to obtain total clearance</w:t>
      </w:r>
      <w:r w:rsidR="00480CC9">
        <w:rPr>
          <w:vertAlign w:val="superscript"/>
        </w:rPr>
        <w:t>5</w:t>
      </w:r>
      <w:r w:rsidR="00347EAF" w:rsidRPr="00136ED3">
        <w:t xml:space="preserve">. </w:t>
      </w:r>
    </w:p>
    <w:p w14:paraId="0E490EF6" w14:textId="77C831AC" w:rsidR="00F2731F" w:rsidRPr="00136ED3" w:rsidRDefault="005E012F" w:rsidP="003E6FBB">
      <w:pPr>
        <w:pStyle w:val="TEXT"/>
      </w:pPr>
      <w:r w:rsidRPr="00136ED3">
        <w:t>In a post-hoc analysis of pooled data from</w:t>
      </w:r>
      <w:r w:rsidR="00F77993" w:rsidRPr="00136ED3">
        <w:t xml:space="preserve"> two Phase 3 studies (</w:t>
      </w:r>
      <w:r w:rsidR="003C7F44" w:rsidRPr="00136ED3">
        <w:t>AMAGINE-2 and AMAGINE-3</w:t>
      </w:r>
      <w:r w:rsidR="00F77993" w:rsidRPr="00136ED3">
        <w:t xml:space="preserve">) from the subgroup of patients who failed on </w:t>
      </w:r>
      <w:proofErr w:type="spellStart"/>
      <w:r w:rsidR="00F77993" w:rsidRPr="00136ED3">
        <w:t>ustekinumab</w:t>
      </w:r>
      <w:proofErr w:type="spellEnd"/>
      <w:r w:rsidR="00F77993" w:rsidRPr="00136ED3">
        <w:t xml:space="preserve"> and then switched to SILIQ (N=124), 58% reached PASI 90 by week 52, while 36% reached PASI 100 by week 5</w:t>
      </w:r>
      <w:r w:rsidR="00B548B1" w:rsidRPr="00136ED3">
        <w:t xml:space="preserve">2. </w:t>
      </w:r>
      <w:r w:rsidR="00882A57" w:rsidRPr="00136ED3">
        <w:t xml:space="preserve">Failure was defined as patients with </w:t>
      </w:r>
      <w:proofErr w:type="spellStart"/>
      <w:r w:rsidR="00882A57" w:rsidRPr="00136ED3">
        <w:t>sPGA</w:t>
      </w:r>
      <w:proofErr w:type="spellEnd"/>
      <w:r w:rsidR="00882A57" w:rsidRPr="00136ED3">
        <w:t xml:space="preserve"> score of 3 or greater or persistent </w:t>
      </w:r>
      <w:proofErr w:type="spellStart"/>
      <w:r w:rsidR="00723CF2" w:rsidRPr="00136ED3">
        <w:t>s</w:t>
      </w:r>
      <w:r w:rsidR="00882A57" w:rsidRPr="00136ED3">
        <w:t>PGA</w:t>
      </w:r>
      <w:proofErr w:type="spellEnd"/>
      <w:r w:rsidR="00882A57" w:rsidRPr="00136ED3">
        <w:t xml:space="preserve"> score of 2 over a </w:t>
      </w:r>
      <w:r w:rsidR="00882A57" w:rsidRPr="00136ED3">
        <w:rPr>
          <w:u w:val="single"/>
        </w:rPr>
        <w:t>&gt;</w:t>
      </w:r>
      <w:r w:rsidR="00882A57" w:rsidRPr="00136ED3">
        <w:t>4-week period, after at least 16 weeks of treatment with ustekinumab</w:t>
      </w:r>
      <w:r w:rsidR="00480CC9">
        <w:rPr>
          <w:vertAlign w:val="superscript"/>
        </w:rPr>
        <w:t>6</w:t>
      </w:r>
      <w:r w:rsidR="00882A57" w:rsidRPr="00136ED3">
        <w:t>.</w:t>
      </w:r>
      <w:r w:rsidR="00D10C08">
        <w:br/>
      </w:r>
      <w:r w:rsidR="00D10C08">
        <w:br/>
      </w:r>
      <w:r w:rsidR="00D10C08" w:rsidRPr="00D10C08">
        <w:t>Please see full articles for more information.</w:t>
      </w:r>
    </w:p>
    <w:p w14:paraId="682AE551" w14:textId="77777777" w:rsidR="0011743F" w:rsidRPr="00136ED3" w:rsidRDefault="001C55A2" w:rsidP="001307DA">
      <w:pPr>
        <w:pStyle w:val="TEXT"/>
        <w:numPr>
          <w:ilvl w:val="0"/>
          <w:numId w:val="12"/>
        </w:numPr>
      </w:pPr>
      <w:r w:rsidRPr="00136ED3">
        <w:t xml:space="preserve">Papp KA et al. </w:t>
      </w:r>
      <w:r w:rsidRPr="00136ED3">
        <w:rPr>
          <w:i/>
          <w:iCs/>
          <w:lang w:val="da-DK"/>
        </w:rPr>
        <w:t xml:space="preserve">Br J Dermatol. </w:t>
      </w:r>
      <w:r w:rsidRPr="00136ED3">
        <w:rPr>
          <w:lang w:val="da-DK"/>
        </w:rPr>
        <w:t>2018;179(2):320-328</w:t>
      </w:r>
      <w:r w:rsidR="00150828" w:rsidRPr="00136ED3">
        <w:rPr>
          <w:lang w:val="da-DK"/>
        </w:rPr>
        <w:t>.</w:t>
      </w:r>
      <w:r w:rsidRPr="00136ED3">
        <w:rPr>
          <w:lang w:val="da-DK"/>
        </w:rPr>
        <w:t xml:space="preserve"> </w:t>
      </w:r>
    </w:p>
    <w:p w14:paraId="43A4C442" w14:textId="0F01A6D8" w:rsidR="0011743F" w:rsidRPr="00136ED3" w:rsidRDefault="001C55A2" w:rsidP="001307DA">
      <w:pPr>
        <w:pStyle w:val="TEXT"/>
        <w:numPr>
          <w:ilvl w:val="0"/>
          <w:numId w:val="12"/>
        </w:numPr>
      </w:pPr>
      <w:r w:rsidRPr="00136ED3">
        <w:rPr>
          <w:lang w:val="da-DK"/>
        </w:rPr>
        <w:t xml:space="preserve">Kimmel G et al. </w:t>
      </w:r>
      <w:r w:rsidRPr="00136ED3">
        <w:rPr>
          <w:i/>
          <w:iCs/>
          <w:lang w:val="da-DK"/>
        </w:rPr>
        <w:t>J Am Acad</w:t>
      </w:r>
      <w:r w:rsidRPr="00136ED3">
        <w:rPr>
          <w:lang w:val="da-DK"/>
        </w:rPr>
        <w:t xml:space="preserve">. </w:t>
      </w:r>
      <w:r w:rsidRPr="00136ED3">
        <w:rPr>
          <w:i/>
          <w:iCs/>
          <w:lang w:val="da-DK"/>
        </w:rPr>
        <w:t>Dermatol</w:t>
      </w:r>
      <w:r w:rsidRPr="00136ED3">
        <w:rPr>
          <w:lang w:val="da-DK"/>
        </w:rPr>
        <w:t>. 2019;81(3):857-859.</w:t>
      </w:r>
    </w:p>
    <w:p w14:paraId="12AA3044" w14:textId="2ECD2885" w:rsidR="003A4F6D" w:rsidRPr="00136ED3" w:rsidRDefault="00150828" w:rsidP="001307DA">
      <w:pPr>
        <w:pStyle w:val="TEXT"/>
        <w:numPr>
          <w:ilvl w:val="0"/>
          <w:numId w:val="12"/>
        </w:numPr>
      </w:pPr>
      <w:r w:rsidRPr="00136ED3">
        <w:t xml:space="preserve">Langley RG et al. </w:t>
      </w:r>
      <w:r w:rsidRPr="00136ED3">
        <w:rPr>
          <w:i/>
          <w:iCs/>
          <w:lang w:val="da-DK"/>
        </w:rPr>
        <w:t>Br J Dermatol</w:t>
      </w:r>
      <w:r w:rsidRPr="00136ED3">
        <w:rPr>
          <w:lang w:val="da-DK"/>
        </w:rPr>
        <w:t>. 2019;180:255-256.</w:t>
      </w:r>
      <w:r w:rsidR="004C76A8">
        <w:rPr>
          <w:lang w:val="da-DK"/>
        </w:rPr>
        <w:br/>
      </w:r>
    </w:p>
    <w:p w14:paraId="22D8A79E" w14:textId="77777777" w:rsidR="004C76A8" w:rsidRDefault="0003364E" w:rsidP="004C76A8">
      <w:pPr>
        <w:pStyle w:val="TEXT"/>
        <w:rPr>
          <w:rFonts w:eastAsia="Calibri"/>
          <w:b/>
          <w:bCs/>
          <w:color w:val="000000"/>
          <w:szCs w:val="18"/>
        </w:rPr>
      </w:pPr>
      <w:sdt>
        <w:sdtPr>
          <w:rPr>
            <w:color w:val="FF0000"/>
          </w:rPr>
          <w:id w:val="-1631088803"/>
        </w:sdtPr>
        <w:sdtEndPr/>
        <w:sdtContent>
          <w:r w:rsidR="004C76A8" w:rsidRPr="00C61B16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4C76A8">
        <w:rPr>
          <w:color w:val="FF0000"/>
        </w:rPr>
        <w:t xml:space="preserve"> </w:t>
      </w:r>
      <w:r w:rsidR="004C76A8">
        <w:rPr>
          <w:rFonts w:eastAsia="Calibri"/>
          <w:b/>
          <w:bCs/>
          <w:color w:val="000000"/>
          <w:szCs w:val="18"/>
        </w:rPr>
        <w:t>SILIQ Efficacy in Scalp Psoriasis and Nail Psoriasis</w:t>
      </w:r>
    </w:p>
    <w:p w14:paraId="6CA32340" w14:textId="66E03D8B" w:rsidR="004C76A8" w:rsidRPr="004C76A8" w:rsidRDefault="004C76A8" w:rsidP="004C76A8">
      <w:pPr>
        <w:pStyle w:val="TEXT"/>
        <w:rPr>
          <w:rFonts w:eastAsia="Calibri"/>
          <w:color w:val="000000"/>
          <w:szCs w:val="18"/>
        </w:rPr>
      </w:pPr>
      <w:r w:rsidRPr="004C76A8">
        <w:rPr>
          <w:rFonts w:eastAsia="Calibri"/>
          <w:color w:val="000000"/>
          <w:szCs w:val="18"/>
        </w:rPr>
        <w:t xml:space="preserve">In AMAGINE-1, phase 3 clinical trial, a subgroup of patients had scalp psoriasis with PSSI ≥15 </w:t>
      </w:r>
      <w:r w:rsidR="00EA3E55">
        <w:rPr>
          <w:rFonts w:eastAsia="Calibri"/>
          <w:color w:val="000000"/>
          <w:szCs w:val="18"/>
        </w:rPr>
        <w:t xml:space="preserve">(average baseline score of 20) </w:t>
      </w:r>
      <w:r w:rsidRPr="004C76A8">
        <w:rPr>
          <w:rFonts w:eastAsia="Calibri"/>
          <w:color w:val="000000"/>
          <w:szCs w:val="18"/>
        </w:rPr>
        <w:t>who received SILIQ treatment (n=</w:t>
      </w:r>
      <w:r w:rsidR="00EA3E55">
        <w:rPr>
          <w:rFonts w:eastAsia="Calibri"/>
          <w:color w:val="000000"/>
          <w:szCs w:val="18"/>
        </w:rPr>
        <w:t>82</w:t>
      </w:r>
      <w:r w:rsidRPr="004C76A8">
        <w:rPr>
          <w:rFonts w:eastAsia="Calibri"/>
          <w:color w:val="000000"/>
          <w:szCs w:val="18"/>
        </w:rPr>
        <w:t>) or placebo treatment (n=</w:t>
      </w:r>
      <w:r w:rsidR="00EA3E55">
        <w:rPr>
          <w:rFonts w:eastAsia="Calibri"/>
          <w:color w:val="000000"/>
          <w:szCs w:val="18"/>
        </w:rPr>
        <w:t>95</w:t>
      </w:r>
      <w:r w:rsidRPr="004C76A8">
        <w:rPr>
          <w:rFonts w:eastAsia="Calibri"/>
          <w:color w:val="000000"/>
          <w:szCs w:val="18"/>
        </w:rPr>
        <w:t>). A post-hoc analysis</w:t>
      </w:r>
      <w:r w:rsidR="00D656EF">
        <w:rPr>
          <w:rFonts w:eastAsia="Calibri"/>
          <w:color w:val="000000"/>
          <w:szCs w:val="18"/>
        </w:rPr>
        <w:t xml:space="preserve"> (NRI)</w:t>
      </w:r>
      <w:r w:rsidRPr="004C76A8">
        <w:rPr>
          <w:rFonts w:eastAsia="Calibri"/>
          <w:color w:val="000000"/>
          <w:szCs w:val="18"/>
        </w:rPr>
        <w:t xml:space="preserve"> showed that at week 12, 89% and 63% of patients receiving brodalumab 210 mg achieved 75% and 100% improvement from </w:t>
      </w:r>
      <w:r w:rsidRPr="004C76A8">
        <w:rPr>
          <w:rFonts w:eastAsia="Calibri"/>
          <w:color w:val="000000"/>
          <w:szCs w:val="18"/>
        </w:rPr>
        <w:lastRenderedPageBreak/>
        <w:t>baseline PSSI, respectively compared to 10% and 3% of patients receiving placebo. At week 12, treatment with brodalumab 210 mg had 93% mean percent improvement from baseline PSSI compared to 14% with placebo</w:t>
      </w:r>
      <w:r w:rsidR="00D10C08" w:rsidRPr="00D10C08">
        <w:rPr>
          <w:rFonts w:eastAsia="Calibri"/>
          <w:color w:val="000000"/>
          <w:szCs w:val="18"/>
          <w:vertAlign w:val="superscript"/>
        </w:rPr>
        <w:t>7</w:t>
      </w:r>
      <w:r w:rsidRPr="004C76A8">
        <w:rPr>
          <w:rFonts w:eastAsia="Calibri"/>
          <w:color w:val="000000"/>
          <w:szCs w:val="18"/>
        </w:rPr>
        <w:t>.</w:t>
      </w:r>
    </w:p>
    <w:p w14:paraId="498C39B2" w14:textId="3C65E3AE" w:rsidR="004C76A8" w:rsidRPr="00886436" w:rsidRDefault="004C76A8" w:rsidP="004C76A8">
      <w:pPr>
        <w:pStyle w:val="TEXT"/>
      </w:pPr>
      <w:r w:rsidRPr="004C76A8">
        <w:rPr>
          <w:rFonts w:eastAsia="Calibri"/>
          <w:color w:val="000000"/>
          <w:szCs w:val="18"/>
        </w:rPr>
        <w:t>In AMGINE-2 and AMAGINE-3, two phase 3 clinical trials, a subgroup of patients had a baseline NAPSI of ≥6</w:t>
      </w:r>
      <w:r w:rsidR="00C03FE9">
        <w:rPr>
          <w:rFonts w:eastAsia="Calibri"/>
          <w:color w:val="000000"/>
          <w:szCs w:val="18"/>
        </w:rPr>
        <w:t>,</w:t>
      </w:r>
      <w:r w:rsidRPr="004C76A8">
        <w:rPr>
          <w:rFonts w:eastAsia="Calibri"/>
          <w:color w:val="000000"/>
          <w:szCs w:val="18"/>
        </w:rPr>
        <w:t xml:space="preserve"> received brodalumab 210 mg or Stelara every 12 weeks through week 52.</w:t>
      </w:r>
      <w:r w:rsidR="00C03FE9">
        <w:rPr>
          <w:rFonts w:eastAsia="Calibri"/>
          <w:color w:val="000000"/>
          <w:szCs w:val="18"/>
        </w:rPr>
        <w:t xml:space="preserve"> </w:t>
      </w:r>
      <w:r w:rsidRPr="004C76A8">
        <w:rPr>
          <w:rFonts w:eastAsia="Calibri"/>
          <w:color w:val="000000"/>
          <w:szCs w:val="18"/>
        </w:rPr>
        <w:t>A post-hoc analysis</w:t>
      </w:r>
      <w:r w:rsidR="00C03FE9">
        <w:rPr>
          <w:rFonts w:eastAsia="Calibri"/>
          <w:color w:val="000000"/>
          <w:szCs w:val="18"/>
        </w:rPr>
        <w:t xml:space="preserve"> (as observed)</w:t>
      </w:r>
      <w:r w:rsidRPr="004C76A8">
        <w:rPr>
          <w:rFonts w:eastAsia="Calibri"/>
          <w:color w:val="000000"/>
          <w:szCs w:val="18"/>
        </w:rPr>
        <w:t xml:space="preserve"> showed that at Week 52, 64% of patients treated with SILIQ (n=</w:t>
      </w:r>
      <w:r w:rsidR="003C1ECA">
        <w:rPr>
          <w:rFonts w:eastAsia="Calibri"/>
          <w:color w:val="000000"/>
          <w:szCs w:val="18"/>
        </w:rPr>
        <w:t>69</w:t>
      </w:r>
      <w:r w:rsidRPr="004C76A8">
        <w:rPr>
          <w:rFonts w:eastAsia="Calibri"/>
          <w:color w:val="000000"/>
          <w:szCs w:val="18"/>
        </w:rPr>
        <w:t>) achieved NAPSI 0, compared to 39% of patients treated with Stelara (n=</w:t>
      </w:r>
      <w:r w:rsidR="003C1ECA">
        <w:rPr>
          <w:rFonts w:eastAsia="Calibri"/>
          <w:color w:val="000000"/>
          <w:szCs w:val="18"/>
        </w:rPr>
        <w:t>87</w:t>
      </w:r>
      <w:r w:rsidRPr="004C76A8">
        <w:rPr>
          <w:rFonts w:eastAsia="Calibri"/>
          <w:color w:val="000000"/>
          <w:szCs w:val="18"/>
        </w:rPr>
        <w:t>)</w:t>
      </w:r>
      <w:r w:rsidR="00D10C08" w:rsidRPr="00D10C08">
        <w:rPr>
          <w:rFonts w:eastAsia="Calibri"/>
          <w:color w:val="000000"/>
          <w:szCs w:val="18"/>
          <w:vertAlign w:val="superscript"/>
        </w:rPr>
        <w:t>7</w:t>
      </w:r>
      <w:r w:rsidRPr="004C76A8">
        <w:rPr>
          <w:rFonts w:eastAsia="Calibri"/>
          <w:color w:val="000000"/>
          <w:szCs w:val="18"/>
        </w:rPr>
        <w:t xml:space="preserve">. </w:t>
      </w:r>
      <w:r w:rsidR="00886436">
        <w:rPr>
          <w:rFonts w:eastAsia="Calibri"/>
          <w:color w:val="000000"/>
          <w:szCs w:val="18"/>
        </w:rPr>
        <w:br/>
      </w:r>
      <w:r w:rsidR="00886436">
        <w:rPr>
          <w:rFonts w:eastAsia="Calibri"/>
          <w:color w:val="000000"/>
          <w:szCs w:val="18"/>
        </w:rPr>
        <w:br/>
      </w:r>
      <w:r w:rsidR="00886436" w:rsidRPr="00D10C08">
        <w:t xml:space="preserve">Please see full article for more information. </w:t>
      </w:r>
      <w:r w:rsidR="00886436" w:rsidRPr="00D10C08">
        <w:br/>
      </w:r>
    </w:p>
    <w:p w14:paraId="213CE1D8" w14:textId="77777777" w:rsidR="004A2172" w:rsidRPr="004A2172" w:rsidRDefault="00C20FD9" w:rsidP="004D2638">
      <w:pPr>
        <w:pStyle w:val="TEXT"/>
        <w:numPr>
          <w:ilvl w:val="0"/>
          <w:numId w:val="12"/>
        </w:numPr>
      </w:pPr>
      <w:proofErr w:type="spellStart"/>
      <w:r w:rsidRPr="004A2172">
        <w:rPr>
          <w:rFonts w:eastAsia="Calibri"/>
          <w:color w:val="000000"/>
          <w:szCs w:val="18"/>
        </w:rPr>
        <w:t>Elewski</w:t>
      </w:r>
      <w:proofErr w:type="spellEnd"/>
      <w:r w:rsidRPr="004A2172">
        <w:rPr>
          <w:rFonts w:eastAsia="Calibri"/>
          <w:color w:val="000000"/>
          <w:szCs w:val="18"/>
        </w:rPr>
        <w:t xml:space="preserve"> B, et al. </w:t>
      </w:r>
      <w:r w:rsidRPr="004A2172">
        <w:rPr>
          <w:rFonts w:eastAsia="Calibri"/>
          <w:i/>
          <w:iCs/>
          <w:color w:val="000000"/>
          <w:szCs w:val="18"/>
        </w:rPr>
        <w:t xml:space="preserve">J </w:t>
      </w:r>
      <w:proofErr w:type="spellStart"/>
      <w:r w:rsidRPr="004A2172">
        <w:rPr>
          <w:rFonts w:eastAsia="Calibri"/>
          <w:i/>
          <w:iCs/>
          <w:color w:val="000000"/>
          <w:szCs w:val="18"/>
        </w:rPr>
        <w:t>Dermatolog</w:t>
      </w:r>
      <w:proofErr w:type="spellEnd"/>
      <w:r w:rsidRPr="004A2172">
        <w:rPr>
          <w:rFonts w:eastAsia="Calibri"/>
          <w:i/>
          <w:iCs/>
          <w:color w:val="000000"/>
          <w:szCs w:val="18"/>
        </w:rPr>
        <w:t xml:space="preserve"> Treat.</w:t>
      </w:r>
      <w:r w:rsidRPr="004A2172">
        <w:rPr>
          <w:rFonts w:eastAsia="Calibri"/>
          <w:color w:val="000000"/>
          <w:szCs w:val="18"/>
        </w:rPr>
        <w:t xml:space="preserve"> 2022 Feb;33(1):261-265. </w:t>
      </w:r>
    </w:p>
    <w:p w14:paraId="2F9713DF" w14:textId="4951F6C3" w:rsidR="00EF3128" w:rsidRDefault="004A2172" w:rsidP="004A2172">
      <w:pPr>
        <w:pStyle w:val="TEXT"/>
      </w:pPr>
      <w:r>
        <w:rPr>
          <w:rFonts w:eastAsia="Calibri"/>
          <w:color w:val="000000"/>
          <w:szCs w:val="18"/>
        </w:rPr>
        <w:br/>
      </w:r>
      <w:sdt>
        <w:sdtPr>
          <w:rPr>
            <w:color w:val="FF0000"/>
          </w:rPr>
          <w:id w:val="382064793"/>
        </w:sdtPr>
        <w:sdtEndPr/>
        <w:sdtContent>
          <w:r w:rsidR="00E14371" w:rsidRPr="004A2172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E14371" w:rsidRPr="004A2172">
        <w:rPr>
          <w:color w:val="FF0000"/>
        </w:rPr>
        <w:t xml:space="preserve"> </w:t>
      </w:r>
      <w:r w:rsidR="00E14371" w:rsidRPr="004A2172">
        <w:rPr>
          <w:rFonts w:eastAsia="Calibri"/>
          <w:b/>
          <w:bCs/>
          <w:color w:val="000000"/>
        </w:rPr>
        <w:t xml:space="preserve">SILIQ Efficacy in Obese and Non-obese Patients </w:t>
      </w:r>
    </w:p>
    <w:p w14:paraId="632C7506" w14:textId="5C93CEA7" w:rsidR="00AF37B0" w:rsidRDefault="005033DF" w:rsidP="00003B59">
      <w:pPr>
        <w:pStyle w:val="TEXT"/>
      </w:pPr>
      <w:r>
        <w:t>In</w:t>
      </w:r>
      <w:r w:rsidR="00003B59">
        <w:t xml:space="preserve"> a post hoc analysis</w:t>
      </w:r>
      <w:r w:rsidR="00AF37B0" w:rsidRPr="00AF37B0">
        <w:rPr>
          <w:vertAlign w:val="superscript"/>
        </w:rPr>
        <w:t>8</w:t>
      </w:r>
      <w:r w:rsidR="00003B59">
        <w:t xml:space="preserve"> of the phase</w:t>
      </w:r>
      <w:r>
        <w:t xml:space="preserve"> 3 clinical trials</w:t>
      </w:r>
      <w:r w:rsidR="00003B59">
        <w:t xml:space="preserve"> </w:t>
      </w:r>
      <w:r>
        <w:t>(</w:t>
      </w:r>
      <w:r w:rsidR="00003B59">
        <w:t>AMAGINE-2 and AMAGINE-3</w:t>
      </w:r>
      <w:r>
        <w:t>)</w:t>
      </w:r>
      <w:r w:rsidR="00FF4BC6">
        <w:t>,</w:t>
      </w:r>
      <w:r w:rsidR="00003B59">
        <w:t xml:space="preserve"> </w:t>
      </w:r>
      <w:r w:rsidR="00FF4BC6">
        <w:t>p</w:t>
      </w:r>
      <w:r w:rsidR="00003B59">
        <w:t>atients were categorized by BMI</w:t>
      </w:r>
      <w:r w:rsidR="00AB77A8">
        <w:t xml:space="preserve"> </w:t>
      </w:r>
      <w:r w:rsidR="00003B59">
        <w:t>category (&lt; 30 or ≥ 30 kg</w:t>
      </w:r>
      <w:r w:rsidR="00AB77A8">
        <w:t>/</w:t>
      </w:r>
      <w:r w:rsidR="00003B59">
        <w:t>m</w:t>
      </w:r>
      <w:r w:rsidR="00AB77A8" w:rsidRPr="00AB77A8">
        <w:rPr>
          <w:vertAlign w:val="superscript"/>
        </w:rPr>
        <w:t>2</w:t>
      </w:r>
      <w:r w:rsidR="00003B59">
        <w:t xml:space="preserve">) and efficacy was evaluated using </w:t>
      </w:r>
      <w:r w:rsidR="00793C53">
        <w:t xml:space="preserve">improvement in </w:t>
      </w:r>
      <w:r w:rsidR="00582478">
        <w:t>PASI</w:t>
      </w:r>
      <w:r w:rsidR="00793C53">
        <w:t xml:space="preserve"> scores</w:t>
      </w:r>
      <w:r w:rsidR="00582478">
        <w:t xml:space="preserve">. </w:t>
      </w:r>
      <w:r w:rsidR="00003B59">
        <w:t xml:space="preserve">Skin clearance was comparable across BMI subgroups in brodalumab-treated patients. </w:t>
      </w:r>
      <w:r w:rsidR="00793C53">
        <w:t>PASI</w:t>
      </w:r>
      <w:r w:rsidR="00003B59">
        <w:t xml:space="preserve"> 100% improvement rates in nonobese and obese patients at week 12 were 54</w:t>
      </w:r>
      <w:r w:rsidR="00793C53">
        <w:t>.</w:t>
      </w:r>
      <w:r w:rsidR="00003B59">
        <w:t>1% and 49</w:t>
      </w:r>
      <w:r w:rsidR="00793C53">
        <w:t>.</w:t>
      </w:r>
      <w:r w:rsidR="00003B59">
        <w:t>5%, respectively, and at week 52 they were 72</w:t>
      </w:r>
      <w:r w:rsidR="00793C53">
        <w:t>.</w:t>
      </w:r>
      <w:r w:rsidR="00003B59">
        <w:t>6% and 64</w:t>
      </w:r>
      <w:r w:rsidR="00793C53">
        <w:t>.</w:t>
      </w:r>
      <w:r w:rsidR="00003B59">
        <w:t xml:space="preserve">8%, respectively. </w:t>
      </w:r>
      <w:r w:rsidR="00F43D82" w:rsidRPr="00F43D82">
        <w:t>The efficacy and safety of brodalumab did not differ between patients with moderate-to-severe psoriasis who had a BMI &lt; 30 kg</w:t>
      </w:r>
      <w:r w:rsidR="00F43D82">
        <w:t>/</w:t>
      </w:r>
      <w:r w:rsidR="00F43D82" w:rsidRPr="00F43D82">
        <w:t>m</w:t>
      </w:r>
      <w:r w:rsidR="00F43D82" w:rsidRPr="00F43D82">
        <w:rPr>
          <w:vertAlign w:val="superscript"/>
        </w:rPr>
        <w:t>2</w:t>
      </w:r>
      <w:r w:rsidR="00F43D82" w:rsidRPr="00F43D82">
        <w:t xml:space="preserve"> or a BMI ≥ 30 kg</w:t>
      </w:r>
      <w:r w:rsidR="00F43D82">
        <w:t>/</w:t>
      </w:r>
      <w:r w:rsidR="00F43D82" w:rsidRPr="00F43D82">
        <w:t>m</w:t>
      </w:r>
      <w:r w:rsidR="00F43D82" w:rsidRPr="00F43D82">
        <w:rPr>
          <w:vertAlign w:val="superscript"/>
        </w:rPr>
        <w:t>2</w:t>
      </w:r>
      <w:r w:rsidR="00F43D82">
        <w:t>.</w:t>
      </w:r>
      <w:r w:rsidR="00AF37B0">
        <w:t xml:space="preserve"> </w:t>
      </w:r>
    </w:p>
    <w:p w14:paraId="3EAAFFD4" w14:textId="04679D07" w:rsidR="007A5C0D" w:rsidRDefault="00AF37B0" w:rsidP="00003B59">
      <w:pPr>
        <w:pStyle w:val="TEXT"/>
      </w:pPr>
      <w:r>
        <w:t>Please see</w:t>
      </w:r>
      <w:r w:rsidR="00F43D82">
        <w:t xml:space="preserve"> </w:t>
      </w:r>
      <w:r w:rsidRPr="00D10C08">
        <w:t>full article for more information.</w:t>
      </w:r>
    </w:p>
    <w:p w14:paraId="41021D30" w14:textId="77777777" w:rsidR="00BE1790" w:rsidRDefault="00D05C24" w:rsidP="00610D5C">
      <w:pPr>
        <w:pStyle w:val="TEXT"/>
        <w:numPr>
          <w:ilvl w:val="0"/>
          <w:numId w:val="12"/>
        </w:numPr>
      </w:pPr>
      <w:r w:rsidRPr="00D05C24">
        <w:t>Hsu S.</w:t>
      </w:r>
      <w:r w:rsidR="0000634C">
        <w:t xml:space="preserve"> et al.</w:t>
      </w:r>
      <w:r w:rsidRPr="00D05C24">
        <w:t xml:space="preserve"> </w:t>
      </w:r>
      <w:r w:rsidRPr="00BE1790">
        <w:rPr>
          <w:i/>
          <w:iCs/>
        </w:rPr>
        <w:t>Br J Dermatol.</w:t>
      </w:r>
      <w:r w:rsidRPr="00D05C24">
        <w:t xml:space="preserve"> 2020 Apr;182(4):880-888. </w:t>
      </w:r>
    </w:p>
    <w:p w14:paraId="25BEC444" w14:textId="77777777" w:rsidR="00BE1790" w:rsidRDefault="00BE1790" w:rsidP="00BE1790">
      <w:pPr>
        <w:pStyle w:val="TEXT"/>
      </w:pPr>
    </w:p>
    <w:p w14:paraId="1081027A" w14:textId="092684BC" w:rsidR="00AD527F" w:rsidRPr="00136ED3" w:rsidRDefault="0003364E" w:rsidP="00BE1790">
      <w:pPr>
        <w:pStyle w:val="TEXT"/>
      </w:pPr>
      <w:sdt>
        <w:sdtPr>
          <w:rPr>
            <w:color w:val="FF0000"/>
          </w:rPr>
          <w:id w:val="-924181980"/>
        </w:sdtPr>
        <w:sdtEndPr/>
        <w:sdtContent>
          <w:r w:rsidR="00AD527F" w:rsidRPr="00BE1790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AD527F" w:rsidRPr="00BE1790">
        <w:rPr>
          <w:color w:val="FF0000"/>
        </w:rPr>
        <w:t xml:space="preserve"> </w:t>
      </w:r>
      <w:r w:rsidR="00AD527F" w:rsidRPr="00BE1790">
        <w:rPr>
          <w:rFonts w:eastAsia="Calibri"/>
          <w:b/>
          <w:bCs/>
          <w:color w:val="000000"/>
        </w:rPr>
        <w:t xml:space="preserve">SILIQ Recapture Data </w:t>
      </w:r>
    </w:p>
    <w:p w14:paraId="4E887822" w14:textId="3AB0795C" w:rsidR="00AD527F" w:rsidRDefault="00E70AFA" w:rsidP="00AD527F">
      <w:pPr>
        <w:pStyle w:val="TEXT"/>
      </w:pPr>
      <w:r w:rsidRPr="00136ED3">
        <w:t xml:space="preserve">AMAGINE-1 was a phase 3 study in </w:t>
      </w:r>
      <w:r w:rsidR="00CE3B77" w:rsidRPr="00136ED3">
        <w:t xml:space="preserve">which patients </w:t>
      </w:r>
      <w:r w:rsidR="00063B7D" w:rsidRPr="00136ED3">
        <w:t>initially treated with brodalumab and then placebo were eligible t</w:t>
      </w:r>
      <w:r w:rsidR="00BE20B9" w:rsidRPr="00136ED3">
        <w:t>o return to brodalumab</w:t>
      </w:r>
      <w:r w:rsidR="002B6D72" w:rsidRPr="00136ED3">
        <w:t xml:space="preserve"> if disease returned (</w:t>
      </w:r>
      <w:proofErr w:type="spellStart"/>
      <w:r w:rsidR="002B6D72" w:rsidRPr="00136ED3">
        <w:t>sPGA</w:t>
      </w:r>
      <w:proofErr w:type="spellEnd"/>
      <w:r w:rsidR="002B6D72" w:rsidRPr="00136ED3">
        <w:rPr>
          <w:u w:val="single"/>
        </w:rPr>
        <w:t>&gt;</w:t>
      </w:r>
      <w:r w:rsidR="002B6D72" w:rsidRPr="00136ED3">
        <w:t xml:space="preserve">3) any time after Week 16. </w:t>
      </w:r>
      <w:r w:rsidR="00233461" w:rsidRPr="00136ED3">
        <w:t xml:space="preserve">The average time for the disease to return </w:t>
      </w:r>
      <w:r w:rsidR="00E46426" w:rsidRPr="00136ED3">
        <w:t>after stopping SILIQ was 75 days, with the median time being 56 days</w:t>
      </w:r>
      <w:r w:rsidR="00CE2017">
        <w:t>. Of patients that initially achieved PASI90</w:t>
      </w:r>
      <w:r w:rsidR="0006081F">
        <w:t xml:space="preserve"> at Week 12 (n</w:t>
      </w:r>
      <w:r w:rsidR="00A41FBF">
        <w:t>=71)</w:t>
      </w:r>
      <w:r w:rsidR="0006081F">
        <w:t>, and were randomized to placebo and retreated with brodalumab</w:t>
      </w:r>
      <w:r w:rsidR="00A41FBF">
        <w:t>, 97% recaptured PASI90 clearance. Similarly, 95% if patients who initially achieved PASI100, recaptured complete clearance with retreatment after disease return</w:t>
      </w:r>
      <w:r w:rsidR="0006081F">
        <w:t xml:space="preserve"> </w:t>
      </w:r>
      <w:r w:rsidR="00AA7298">
        <w:rPr>
          <w:vertAlign w:val="superscript"/>
        </w:rPr>
        <w:t>9</w:t>
      </w:r>
      <w:r w:rsidR="00E46426" w:rsidRPr="00136ED3">
        <w:t xml:space="preserve">. </w:t>
      </w:r>
    </w:p>
    <w:p w14:paraId="63EB7D71" w14:textId="47BBEE6F" w:rsidR="00AA7298" w:rsidRPr="00136ED3" w:rsidRDefault="00AA7298" w:rsidP="00AD527F">
      <w:pPr>
        <w:pStyle w:val="TEXT"/>
      </w:pPr>
      <w:r>
        <w:t xml:space="preserve">Please see </w:t>
      </w:r>
      <w:r w:rsidRPr="00D10C08">
        <w:t>full article for more information.</w:t>
      </w:r>
    </w:p>
    <w:p w14:paraId="69F1C1B6" w14:textId="5B561A10" w:rsidR="0011743F" w:rsidRPr="00136ED3" w:rsidRDefault="00A154C9" w:rsidP="001307DA">
      <w:pPr>
        <w:pStyle w:val="TEXT"/>
        <w:numPr>
          <w:ilvl w:val="0"/>
          <w:numId w:val="12"/>
        </w:numPr>
        <w:rPr>
          <w:noProof/>
        </w:rPr>
      </w:pPr>
      <w:r w:rsidRPr="00136ED3">
        <w:rPr>
          <w:noProof/>
        </w:rPr>
        <w:t xml:space="preserve">Papp KA et al. </w:t>
      </w:r>
      <w:r w:rsidRPr="00136ED3">
        <w:rPr>
          <w:i/>
          <w:iCs/>
          <w:noProof/>
        </w:rPr>
        <w:t>Br J Dermatol</w:t>
      </w:r>
      <w:r w:rsidRPr="00136ED3">
        <w:rPr>
          <w:noProof/>
        </w:rPr>
        <w:t>. 2016;175:273-286.</w:t>
      </w:r>
    </w:p>
    <w:p w14:paraId="6ADC9029" w14:textId="603BC6F4" w:rsidR="000F3E7B" w:rsidRPr="00136ED3" w:rsidRDefault="0003364E" w:rsidP="003E6FBB">
      <w:pPr>
        <w:pStyle w:val="TEXT"/>
      </w:pPr>
      <w:sdt>
        <w:sdtPr>
          <w:rPr>
            <w:color w:val="FF0000"/>
          </w:rPr>
          <w:id w:val="1428612878"/>
        </w:sdtPr>
        <w:sdtEndPr/>
        <w:sdtContent>
          <w:r w:rsidR="000F3E7B" w:rsidRPr="00136ED3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0F3E7B" w:rsidRPr="00136ED3">
        <w:rPr>
          <w:color w:val="FF0000"/>
        </w:rPr>
        <w:t xml:space="preserve"> </w:t>
      </w:r>
      <w:r w:rsidR="000F3E7B" w:rsidRPr="00136ED3">
        <w:rPr>
          <w:rFonts w:eastAsia="Calibri"/>
          <w:b/>
          <w:bCs/>
          <w:color w:val="000000"/>
        </w:rPr>
        <w:t xml:space="preserve">SILIQ </w:t>
      </w:r>
      <w:r w:rsidR="003A4F6D" w:rsidRPr="00136ED3">
        <w:rPr>
          <w:rFonts w:eastAsia="Calibri"/>
          <w:b/>
          <w:bCs/>
          <w:color w:val="000000"/>
        </w:rPr>
        <w:t>Long-Term</w:t>
      </w:r>
      <w:r w:rsidR="000F3E7B" w:rsidRPr="00136ED3">
        <w:rPr>
          <w:rFonts w:eastAsia="Calibri"/>
          <w:b/>
          <w:bCs/>
          <w:color w:val="000000"/>
        </w:rPr>
        <w:t xml:space="preserve"> Data  </w:t>
      </w:r>
    </w:p>
    <w:p w14:paraId="409E1384" w14:textId="20AC9ED9" w:rsidR="00324F37" w:rsidRDefault="00DF60D8" w:rsidP="003E6FBB">
      <w:pPr>
        <w:pStyle w:val="TEXT"/>
      </w:pPr>
      <w:r w:rsidRPr="00DF60D8">
        <w:t>Safety and efficacy data were pooled for patients from AMAGINE-2 and -3 who received continuous brodalumab 210mg every 2 weeks, or brodalumab 210mg every 2 weeks after receiving either brodalumab 140mg or placebo through Week 12.</w:t>
      </w:r>
      <w:r w:rsidR="00323087">
        <w:t xml:space="preserve"> </w:t>
      </w:r>
      <w:r w:rsidR="00323087" w:rsidRPr="00323087">
        <w:t xml:space="preserve">Based on observed data at Week 120, 86% of the continuous brodalumab 210mg group achieved PASI 90 and 74% achieved PASI 100. At Week 12, 58% of this group achieved absolute PASI ≤1; this proportion increased to approximately 80% at Week 52 and persisted through Week 120. </w:t>
      </w:r>
    </w:p>
    <w:p w14:paraId="35FCF1B1" w14:textId="68AD148A" w:rsidR="00323087" w:rsidRDefault="00323087" w:rsidP="003E6FBB">
      <w:pPr>
        <w:pStyle w:val="TEXT"/>
      </w:pPr>
      <w:r w:rsidRPr="00323087">
        <w:t>Among patients receiving continuous brodalumab 210 mg, median duration of brodalumab exposure was 747 days and the overall exposure-adjusted event rate of treatment emergent adverse events per 100 patient-years was 329. Safety through 120 weeks was comparable to the results of the primary AMAGINE-2 and -3 studies. Patients who switched to brodalumab 210 mg after receiving either brodalumab 140 mg or placebo through Week 12 showed similar skin clearance and safety profiles</w:t>
      </w:r>
      <w:r w:rsidRPr="00323087">
        <w:rPr>
          <w:vertAlign w:val="superscript"/>
        </w:rPr>
        <w:t>10</w:t>
      </w:r>
      <w:r w:rsidRPr="00323087">
        <w:t>.</w:t>
      </w:r>
    </w:p>
    <w:p w14:paraId="6F0694BB" w14:textId="682DAF8E" w:rsidR="00323087" w:rsidRDefault="00323087" w:rsidP="003E6FBB">
      <w:pPr>
        <w:pStyle w:val="TEXT"/>
      </w:pPr>
      <w:r>
        <w:t xml:space="preserve">Please see full article for more information. </w:t>
      </w:r>
    </w:p>
    <w:p w14:paraId="69D61D78" w14:textId="713FCB28" w:rsidR="002548CB" w:rsidRPr="008214E2" w:rsidRDefault="008214E2" w:rsidP="00436C56">
      <w:pPr>
        <w:pStyle w:val="TEXT"/>
        <w:numPr>
          <w:ilvl w:val="0"/>
          <w:numId w:val="12"/>
        </w:numPr>
      </w:pPr>
      <w:r w:rsidRPr="008214E2">
        <w:t>Reich K</w:t>
      </w:r>
      <w:r>
        <w:t>, et al</w:t>
      </w:r>
      <w:r w:rsidRPr="008214E2">
        <w:t xml:space="preserve">. </w:t>
      </w:r>
      <w:r w:rsidRPr="008214E2">
        <w:rPr>
          <w:i/>
          <w:iCs/>
        </w:rPr>
        <w:t xml:space="preserve">J </w:t>
      </w:r>
      <w:proofErr w:type="spellStart"/>
      <w:r w:rsidRPr="008214E2">
        <w:rPr>
          <w:i/>
          <w:iCs/>
        </w:rPr>
        <w:t>Eur</w:t>
      </w:r>
      <w:proofErr w:type="spellEnd"/>
      <w:r w:rsidRPr="008214E2">
        <w:rPr>
          <w:i/>
          <w:iCs/>
        </w:rPr>
        <w:t xml:space="preserve"> </w:t>
      </w:r>
      <w:proofErr w:type="spellStart"/>
      <w:r w:rsidRPr="008214E2">
        <w:rPr>
          <w:i/>
          <w:iCs/>
        </w:rPr>
        <w:t>Acad</w:t>
      </w:r>
      <w:proofErr w:type="spellEnd"/>
      <w:r w:rsidRPr="008214E2">
        <w:rPr>
          <w:i/>
          <w:iCs/>
        </w:rPr>
        <w:t xml:space="preserve"> Dermatol </w:t>
      </w:r>
      <w:proofErr w:type="spellStart"/>
      <w:r w:rsidRPr="008214E2">
        <w:rPr>
          <w:i/>
          <w:iCs/>
        </w:rPr>
        <w:t>Venereol</w:t>
      </w:r>
      <w:proofErr w:type="spellEnd"/>
      <w:r w:rsidRPr="008214E2">
        <w:t xml:space="preserve">. 2022 Aug;36(8):1275-1283. </w:t>
      </w:r>
    </w:p>
    <w:p w14:paraId="52DB08E7" w14:textId="63D32635" w:rsidR="00EB526D" w:rsidRPr="00136ED3" w:rsidRDefault="00EB526D" w:rsidP="00010CD8">
      <w:pPr>
        <w:tabs>
          <w:tab w:val="left" w:pos="3300"/>
        </w:tabs>
        <w:jc w:val="center"/>
        <w:rPr>
          <w:rFonts w:ascii="Arial" w:hAnsi="Arial" w:cs="Arial"/>
          <w:sz w:val="20"/>
          <w:szCs w:val="20"/>
        </w:rPr>
      </w:pPr>
    </w:p>
    <w:sectPr w:rsidR="00EB526D" w:rsidRPr="00136ED3" w:rsidSect="00885038">
      <w:type w:val="continuous"/>
      <w:pgSz w:w="12240" w:h="15840"/>
      <w:pgMar w:top="1008" w:right="1008" w:bottom="720" w:left="1080" w:header="475" w:footer="47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4698" w14:textId="77777777" w:rsidR="00DE30D7" w:rsidRDefault="00DE30D7" w:rsidP="002E68C9">
      <w:pPr>
        <w:spacing w:after="0" w:line="240" w:lineRule="auto"/>
      </w:pPr>
      <w:r>
        <w:separator/>
      </w:r>
    </w:p>
  </w:endnote>
  <w:endnote w:type="continuationSeparator" w:id="0">
    <w:p w14:paraId="3019132E" w14:textId="77777777" w:rsidR="00DE30D7" w:rsidRDefault="00DE30D7" w:rsidP="002E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BE51" w14:textId="5B2757BD" w:rsidR="00A451B1" w:rsidRPr="00A451B1" w:rsidRDefault="00952A27" w:rsidP="00A451B1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SILIQ is a</w:t>
    </w:r>
    <w:r w:rsidR="00A451B1" w:rsidRPr="00A451B1">
      <w:rPr>
        <w:rFonts w:ascii="Arial" w:hAnsi="Arial" w:cs="Arial"/>
        <w:sz w:val="16"/>
        <w:szCs w:val="16"/>
      </w:rPr>
      <w:t xml:space="preserve"> trademark of Ortho Dermatologics</w:t>
    </w:r>
    <w:r w:rsidR="002B68A0">
      <w:rPr>
        <w:rFonts w:ascii="Arial" w:hAnsi="Arial" w:cs="Arial"/>
        <w:sz w:val="16"/>
        <w:szCs w:val="16"/>
      </w:rPr>
      <w:t>’</w:t>
    </w:r>
    <w:r w:rsidR="00A451B1" w:rsidRPr="00A451B1">
      <w:rPr>
        <w:rFonts w:ascii="Arial" w:hAnsi="Arial" w:cs="Arial"/>
        <w:sz w:val="16"/>
        <w:szCs w:val="16"/>
      </w:rPr>
      <w:t xml:space="preserve"> affiliated entities. </w:t>
    </w:r>
  </w:p>
  <w:p w14:paraId="7824EAE9" w14:textId="3D05561F" w:rsidR="00924809" w:rsidRPr="002E68C9" w:rsidRDefault="00A451B1" w:rsidP="00A451B1">
    <w:pPr>
      <w:widowControl w:val="0"/>
      <w:tabs>
        <w:tab w:val="left" w:pos="5940"/>
        <w:tab w:val="right" w:pos="10170"/>
      </w:tabs>
      <w:autoSpaceDE w:val="0"/>
      <w:autoSpaceDN w:val="0"/>
      <w:adjustRightInd w:val="0"/>
      <w:spacing w:after="0" w:line="240" w:lineRule="auto"/>
      <w:ind w:right="-20"/>
      <w:rPr>
        <w:rFonts w:ascii="Arial" w:hAnsi="Arial" w:cs="Arial"/>
        <w:sz w:val="16"/>
        <w:szCs w:val="20"/>
      </w:rPr>
    </w:pPr>
    <w:r w:rsidRPr="00A451B1">
      <w:rPr>
        <w:rFonts w:ascii="Arial" w:hAnsi="Arial" w:cs="Arial"/>
        <w:sz w:val="16"/>
        <w:szCs w:val="16"/>
      </w:rPr>
      <w:t xml:space="preserve">© </w:t>
    </w:r>
    <w:r w:rsidR="002B68A0">
      <w:rPr>
        <w:rFonts w:ascii="Arial" w:hAnsi="Arial" w:cs="Arial"/>
        <w:sz w:val="16"/>
        <w:szCs w:val="16"/>
      </w:rPr>
      <w:t>20</w:t>
    </w:r>
    <w:r w:rsidR="00EB526D">
      <w:rPr>
        <w:rFonts w:ascii="Arial" w:hAnsi="Arial" w:cs="Arial"/>
        <w:sz w:val="16"/>
        <w:szCs w:val="16"/>
      </w:rPr>
      <w:t>2</w:t>
    </w:r>
    <w:r w:rsidR="009E6DA3">
      <w:rPr>
        <w:rFonts w:ascii="Arial" w:hAnsi="Arial" w:cs="Arial"/>
        <w:sz w:val="16"/>
        <w:szCs w:val="16"/>
      </w:rPr>
      <w:t>4</w:t>
    </w:r>
    <w:r w:rsidR="002B68A0">
      <w:rPr>
        <w:rFonts w:ascii="Arial" w:hAnsi="Arial" w:cs="Arial"/>
        <w:sz w:val="16"/>
        <w:szCs w:val="16"/>
      </w:rPr>
      <w:t xml:space="preserve"> </w:t>
    </w:r>
    <w:r w:rsidR="002B68A0" w:rsidRPr="00A451B1">
      <w:rPr>
        <w:rFonts w:ascii="Arial" w:hAnsi="Arial" w:cs="Arial"/>
        <w:sz w:val="16"/>
        <w:szCs w:val="16"/>
      </w:rPr>
      <w:t>Ortho Dermatologics</w:t>
    </w:r>
    <w:r w:rsidR="002B68A0">
      <w:rPr>
        <w:rFonts w:ascii="Arial" w:hAnsi="Arial" w:cs="Arial"/>
        <w:sz w:val="16"/>
        <w:szCs w:val="16"/>
      </w:rPr>
      <w:t>’</w:t>
    </w:r>
    <w:r w:rsidR="002B68A0" w:rsidRPr="00A451B1">
      <w:rPr>
        <w:rFonts w:ascii="Arial" w:hAnsi="Arial" w:cs="Arial"/>
        <w:sz w:val="16"/>
        <w:szCs w:val="16"/>
      </w:rPr>
      <w:t xml:space="preserve"> affiliated entities</w:t>
    </w:r>
    <w:r w:rsidR="002B68A0">
      <w:rPr>
        <w:rFonts w:ascii="Arial" w:hAnsi="Arial" w:cs="Arial"/>
        <w:sz w:val="16"/>
        <w:szCs w:val="16"/>
      </w:rPr>
      <w:t>.</w:t>
    </w:r>
    <w:r w:rsidR="00924809" w:rsidRPr="003874FC">
      <w:rPr>
        <w:rFonts w:ascii="Arial" w:hAnsi="Arial" w:cs="Arial"/>
        <w:sz w:val="16"/>
        <w:szCs w:val="20"/>
      </w:rPr>
      <w:tab/>
      <w:t>0</w:t>
    </w:r>
    <w:r w:rsidR="009E6DA3">
      <w:rPr>
        <w:rFonts w:ascii="Arial" w:hAnsi="Arial" w:cs="Arial"/>
        <w:sz w:val="16"/>
        <w:szCs w:val="20"/>
      </w:rPr>
      <w:t>8</w:t>
    </w:r>
    <w:r w:rsidR="00924809" w:rsidRPr="003874FC">
      <w:rPr>
        <w:rFonts w:ascii="Arial" w:hAnsi="Arial" w:cs="Arial"/>
        <w:sz w:val="16"/>
        <w:szCs w:val="20"/>
      </w:rPr>
      <w:t>/</w:t>
    </w:r>
    <w:r w:rsidR="00DF3426">
      <w:rPr>
        <w:rFonts w:ascii="Arial" w:hAnsi="Arial" w:cs="Arial"/>
        <w:sz w:val="16"/>
        <w:szCs w:val="20"/>
      </w:rPr>
      <w:t>2</w:t>
    </w:r>
    <w:r w:rsidR="009E6DA3">
      <w:rPr>
        <w:rFonts w:ascii="Arial" w:hAnsi="Arial" w:cs="Arial"/>
        <w:sz w:val="16"/>
        <w:szCs w:val="20"/>
      </w:rPr>
      <w:t>4</w:t>
    </w:r>
    <w:r w:rsidR="00924809" w:rsidRPr="003874FC">
      <w:rPr>
        <w:rFonts w:ascii="Arial" w:hAnsi="Arial" w:cs="Arial"/>
        <w:sz w:val="16"/>
        <w:szCs w:val="20"/>
      </w:rPr>
      <w:tab/>
    </w:r>
    <w:r w:rsidR="007E0981" w:rsidRPr="003874FC">
      <w:rPr>
        <w:rFonts w:ascii="Arial" w:hAnsi="Arial" w:cs="Arial"/>
        <w:sz w:val="16"/>
        <w:szCs w:val="20"/>
      </w:rPr>
      <w:t>SLQ.</w:t>
    </w:r>
    <w:r w:rsidR="00FC1D9F">
      <w:rPr>
        <w:rFonts w:ascii="Arial" w:hAnsi="Arial" w:cs="Arial"/>
        <w:sz w:val="16"/>
        <w:szCs w:val="20"/>
      </w:rPr>
      <w:t>0</w:t>
    </w:r>
    <w:r w:rsidR="000E2916">
      <w:rPr>
        <w:rFonts w:ascii="Arial" w:hAnsi="Arial" w:cs="Arial"/>
        <w:sz w:val="16"/>
        <w:szCs w:val="20"/>
      </w:rPr>
      <w:t>025.USA.23</w:t>
    </w:r>
    <w:r w:rsidR="009E6DA3">
      <w:rPr>
        <w:rFonts w:ascii="Arial" w:hAnsi="Arial" w:cs="Arial"/>
        <w:sz w:val="16"/>
        <w:szCs w:val="20"/>
      </w:rPr>
      <w:t>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B22C" w14:textId="77777777" w:rsidR="00DE30D7" w:rsidRDefault="00DE30D7" w:rsidP="002E68C9">
      <w:pPr>
        <w:spacing w:after="0" w:line="240" w:lineRule="auto"/>
      </w:pPr>
      <w:r>
        <w:separator/>
      </w:r>
    </w:p>
  </w:footnote>
  <w:footnote w:type="continuationSeparator" w:id="0">
    <w:p w14:paraId="78399031" w14:textId="77777777" w:rsidR="00DE30D7" w:rsidRDefault="00DE30D7" w:rsidP="002E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9D1"/>
    <w:multiLevelType w:val="hybridMultilevel"/>
    <w:tmpl w:val="BC86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660"/>
    <w:multiLevelType w:val="hybridMultilevel"/>
    <w:tmpl w:val="A602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A01"/>
    <w:multiLevelType w:val="hybridMultilevel"/>
    <w:tmpl w:val="7622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6FCC"/>
    <w:multiLevelType w:val="hybridMultilevel"/>
    <w:tmpl w:val="18DC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6DFB"/>
    <w:multiLevelType w:val="hybridMultilevel"/>
    <w:tmpl w:val="F82A2C7E"/>
    <w:lvl w:ilvl="0" w:tplc="21C262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3055"/>
    <w:multiLevelType w:val="hybridMultilevel"/>
    <w:tmpl w:val="F77C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05F81"/>
    <w:multiLevelType w:val="hybridMultilevel"/>
    <w:tmpl w:val="202C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C60F8"/>
    <w:multiLevelType w:val="hybridMultilevel"/>
    <w:tmpl w:val="A85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5733F"/>
    <w:multiLevelType w:val="hybridMultilevel"/>
    <w:tmpl w:val="314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D1983"/>
    <w:multiLevelType w:val="hybridMultilevel"/>
    <w:tmpl w:val="CE8E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1193"/>
    <w:multiLevelType w:val="hybridMultilevel"/>
    <w:tmpl w:val="B888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F726B"/>
    <w:multiLevelType w:val="hybridMultilevel"/>
    <w:tmpl w:val="A7B0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8083">
    <w:abstractNumId w:val="8"/>
  </w:num>
  <w:num w:numId="2" w16cid:durableId="1234704842">
    <w:abstractNumId w:val="3"/>
  </w:num>
  <w:num w:numId="3" w16cid:durableId="694117213">
    <w:abstractNumId w:val="4"/>
  </w:num>
  <w:num w:numId="4" w16cid:durableId="884827333">
    <w:abstractNumId w:val="1"/>
  </w:num>
  <w:num w:numId="5" w16cid:durableId="1192455917">
    <w:abstractNumId w:val="10"/>
  </w:num>
  <w:num w:numId="6" w16cid:durableId="2101678447">
    <w:abstractNumId w:val="0"/>
  </w:num>
  <w:num w:numId="7" w16cid:durableId="1497843081">
    <w:abstractNumId w:val="11"/>
  </w:num>
  <w:num w:numId="8" w16cid:durableId="1634292702">
    <w:abstractNumId w:val="6"/>
  </w:num>
  <w:num w:numId="9" w16cid:durableId="1059867964">
    <w:abstractNumId w:val="7"/>
  </w:num>
  <w:num w:numId="10" w16cid:durableId="1907061491">
    <w:abstractNumId w:val="5"/>
  </w:num>
  <w:num w:numId="11" w16cid:durableId="861364542">
    <w:abstractNumId w:val="9"/>
  </w:num>
  <w:num w:numId="12" w16cid:durableId="123385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3D"/>
    <w:rsid w:val="00000DE8"/>
    <w:rsid w:val="00003B59"/>
    <w:rsid w:val="00005938"/>
    <w:rsid w:val="0000634C"/>
    <w:rsid w:val="00007FD2"/>
    <w:rsid w:val="00010CD8"/>
    <w:rsid w:val="00020D62"/>
    <w:rsid w:val="0002164A"/>
    <w:rsid w:val="00023E1A"/>
    <w:rsid w:val="00030EEA"/>
    <w:rsid w:val="0003364E"/>
    <w:rsid w:val="00055014"/>
    <w:rsid w:val="0006081F"/>
    <w:rsid w:val="00063B7D"/>
    <w:rsid w:val="000900F6"/>
    <w:rsid w:val="0009613A"/>
    <w:rsid w:val="000A6B2F"/>
    <w:rsid w:val="000B1B5C"/>
    <w:rsid w:val="000C368C"/>
    <w:rsid w:val="000C4A93"/>
    <w:rsid w:val="000D580B"/>
    <w:rsid w:val="000E2916"/>
    <w:rsid w:val="000E7DC5"/>
    <w:rsid w:val="000F3E7B"/>
    <w:rsid w:val="00103979"/>
    <w:rsid w:val="001048B3"/>
    <w:rsid w:val="0011743F"/>
    <w:rsid w:val="0012480A"/>
    <w:rsid w:val="001307DA"/>
    <w:rsid w:val="00131846"/>
    <w:rsid w:val="00132033"/>
    <w:rsid w:val="001344AC"/>
    <w:rsid w:val="00136ED3"/>
    <w:rsid w:val="00150828"/>
    <w:rsid w:val="001668C9"/>
    <w:rsid w:val="00170FA3"/>
    <w:rsid w:val="0017729E"/>
    <w:rsid w:val="00177344"/>
    <w:rsid w:val="001775AD"/>
    <w:rsid w:val="001802BC"/>
    <w:rsid w:val="00180A86"/>
    <w:rsid w:val="001A76D6"/>
    <w:rsid w:val="001B2B60"/>
    <w:rsid w:val="001C009D"/>
    <w:rsid w:val="001C162E"/>
    <w:rsid w:val="001C1A17"/>
    <w:rsid w:val="001C4C72"/>
    <w:rsid w:val="001C55A2"/>
    <w:rsid w:val="001D7581"/>
    <w:rsid w:val="001E0D21"/>
    <w:rsid w:val="001E3974"/>
    <w:rsid w:val="001F137F"/>
    <w:rsid w:val="001F4DD1"/>
    <w:rsid w:val="0020124E"/>
    <w:rsid w:val="00202FF8"/>
    <w:rsid w:val="00221008"/>
    <w:rsid w:val="00222115"/>
    <w:rsid w:val="00224034"/>
    <w:rsid w:val="00233461"/>
    <w:rsid w:val="002400C0"/>
    <w:rsid w:val="002415B4"/>
    <w:rsid w:val="002441E6"/>
    <w:rsid w:val="00250DDB"/>
    <w:rsid w:val="002548CB"/>
    <w:rsid w:val="00256728"/>
    <w:rsid w:val="00260D89"/>
    <w:rsid w:val="00270758"/>
    <w:rsid w:val="00272FD9"/>
    <w:rsid w:val="0027363D"/>
    <w:rsid w:val="0028307E"/>
    <w:rsid w:val="002A5931"/>
    <w:rsid w:val="002A71E6"/>
    <w:rsid w:val="002B2C25"/>
    <w:rsid w:val="002B2CA5"/>
    <w:rsid w:val="002B68A0"/>
    <w:rsid w:val="002B6D72"/>
    <w:rsid w:val="002C644D"/>
    <w:rsid w:val="002D08F3"/>
    <w:rsid w:val="002D4A19"/>
    <w:rsid w:val="002E68C9"/>
    <w:rsid w:val="002E7343"/>
    <w:rsid w:val="002F7801"/>
    <w:rsid w:val="00300CA4"/>
    <w:rsid w:val="00304848"/>
    <w:rsid w:val="00321C58"/>
    <w:rsid w:val="00323087"/>
    <w:rsid w:val="00324F37"/>
    <w:rsid w:val="00336963"/>
    <w:rsid w:val="00347EAF"/>
    <w:rsid w:val="003522F7"/>
    <w:rsid w:val="00360724"/>
    <w:rsid w:val="0037226E"/>
    <w:rsid w:val="003760EB"/>
    <w:rsid w:val="003874FC"/>
    <w:rsid w:val="003A349A"/>
    <w:rsid w:val="003A3662"/>
    <w:rsid w:val="003A3DA8"/>
    <w:rsid w:val="003A4F6D"/>
    <w:rsid w:val="003B4209"/>
    <w:rsid w:val="003C1ECA"/>
    <w:rsid w:val="003C6740"/>
    <w:rsid w:val="003C7F44"/>
    <w:rsid w:val="003D0238"/>
    <w:rsid w:val="003D1332"/>
    <w:rsid w:val="003D2F84"/>
    <w:rsid w:val="003E268A"/>
    <w:rsid w:val="003E53B5"/>
    <w:rsid w:val="003E6FBB"/>
    <w:rsid w:val="003F0B7C"/>
    <w:rsid w:val="003F4127"/>
    <w:rsid w:val="00422CF6"/>
    <w:rsid w:val="00423C67"/>
    <w:rsid w:val="004249F2"/>
    <w:rsid w:val="004374BE"/>
    <w:rsid w:val="00453533"/>
    <w:rsid w:val="00464BF8"/>
    <w:rsid w:val="00474F9F"/>
    <w:rsid w:val="00477C17"/>
    <w:rsid w:val="00480CC9"/>
    <w:rsid w:val="00483E13"/>
    <w:rsid w:val="004862FF"/>
    <w:rsid w:val="00487508"/>
    <w:rsid w:val="004A2172"/>
    <w:rsid w:val="004B6485"/>
    <w:rsid w:val="004B74A4"/>
    <w:rsid w:val="004C76A8"/>
    <w:rsid w:val="004D0784"/>
    <w:rsid w:val="004D0D7C"/>
    <w:rsid w:val="004E0E1E"/>
    <w:rsid w:val="004E35C3"/>
    <w:rsid w:val="004E7521"/>
    <w:rsid w:val="005007EB"/>
    <w:rsid w:val="005033DF"/>
    <w:rsid w:val="005150B7"/>
    <w:rsid w:val="005278E2"/>
    <w:rsid w:val="00533852"/>
    <w:rsid w:val="00542EC1"/>
    <w:rsid w:val="005446CB"/>
    <w:rsid w:val="00544F1D"/>
    <w:rsid w:val="00545057"/>
    <w:rsid w:val="00547799"/>
    <w:rsid w:val="0055271F"/>
    <w:rsid w:val="00554D8C"/>
    <w:rsid w:val="00571950"/>
    <w:rsid w:val="0057713D"/>
    <w:rsid w:val="00582478"/>
    <w:rsid w:val="005A1D05"/>
    <w:rsid w:val="005A3394"/>
    <w:rsid w:val="005B1751"/>
    <w:rsid w:val="005C13DB"/>
    <w:rsid w:val="005C418B"/>
    <w:rsid w:val="005C60FE"/>
    <w:rsid w:val="005D214E"/>
    <w:rsid w:val="005E012F"/>
    <w:rsid w:val="005E24EB"/>
    <w:rsid w:val="005E4CC6"/>
    <w:rsid w:val="005E673E"/>
    <w:rsid w:val="005F6DAB"/>
    <w:rsid w:val="0060356F"/>
    <w:rsid w:val="006129DC"/>
    <w:rsid w:val="00614F50"/>
    <w:rsid w:val="006219CB"/>
    <w:rsid w:val="006223C9"/>
    <w:rsid w:val="00652024"/>
    <w:rsid w:val="00652980"/>
    <w:rsid w:val="0065717C"/>
    <w:rsid w:val="00667320"/>
    <w:rsid w:val="006775D7"/>
    <w:rsid w:val="006C3E97"/>
    <w:rsid w:val="006D2765"/>
    <w:rsid w:val="0071022F"/>
    <w:rsid w:val="00710983"/>
    <w:rsid w:val="00717C43"/>
    <w:rsid w:val="00723CF2"/>
    <w:rsid w:val="00732E1A"/>
    <w:rsid w:val="00735147"/>
    <w:rsid w:val="00735E4F"/>
    <w:rsid w:val="007379AB"/>
    <w:rsid w:val="00740130"/>
    <w:rsid w:val="0074026B"/>
    <w:rsid w:val="00740925"/>
    <w:rsid w:val="007416C9"/>
    <w:rsid w:val="0075268A"/>
    <w:rsid w:val="007928B8"/>
    <w:rsid w:val="0079354A"/>
    <w:rsid w:val="00793C53"/>
    <w:rsid w:val="007A5C0D"/>
    <w:rsid w:val="007B3A83"/>
    <w:rsid w:val="007C30E2"/>
    <w:rsid w:val="007C6CF1"/>
    <w:rsid w:val="007C74B3"/>
    <w:rsid w:val="007D0111"/>
    <w:rsid w:val="007D5A44"/>
    <w:rsid w:val="007E0981"/>
    <w:rsid w:val="007F26C5"/>
    <w:rsid w:val="007F708B"/>
    <w:rsid w:val="008141D5"/>
    <w:rsid w:val="00821412"/>
    <w:rsid w:val="008214E2"/>
    <w:rsid w:val="00822D17"/>
    <w:rsid w:val="00835C66"/>
    <w:rsid w:val="00843B8A"/>
    <w:rsid w:val="00847B60"/>
    <w:rsid w:val="008517AF"/>
    <w:rsid w:val="008552BD"/>
    <w:rsid w:val="0086274A"/>
    <w:rsid w:val="00862894"/>
    <w:rsid w:val="00872BF5"/>
    <w:rsid w:val="008775F6"/>
    <w:rsid w:val="00882A57"/>
    <w:rsid w:val="00885038"/>
    <w:rsid w:val="00886436"/>
    <w:rsid w:val="008914D7"/>
    <w:rsid w:val="00896534"/>
    <w:rsid w:val="0089797C"/>
    <w:rsid w:val="008B4BEB"/>
    <w:rsid w:val="008D049B"/>
    <w:rsid w:val="008D3081"/>
    <w:rsid w:val="008F7957"/>
    <w:rsid w:val="00917AC6"/>
    <w:rsid w:val="009224AC"/>
    <w:rsid w:val="00924809"/>
    <w:rsid w:val="00952A27"/>
    <w:rsid w:val="00973627"/>
    <w:rsid w:val="00981808"/>
    <w:rsid w:val="00981CA6"/>
    <w:rsid w:val="00994572"/>
    <w:rsid w:val="0099559D"/>
    <w:rsid w:val="009A4F28"/>
    <w:rsid w:val="009A7D6E"/>
    <w:rsid w:val="009C6BF5"/>
    <w:rsid w:val="009C7BF0"/>
    <w:rsid w:val="009E13BB"/>
    <w:rsid w:val="009E6DA3"/>
    <w:rsid w:val="009F07BA"/>
    <w:rsid w:val="009F1C45"/>
    <w:rsid w:val="00A14CA8"/>
    <w:rsid w:val="00A154C9"/>
    <w:rsid w:val="00A22D85"/>
    <w:rsid w:val="00A25A55"/>
    <w:rsid w:val="00A304F2"/>
    <w:rsid w:val="00A31FDE"/>
    <w:rsid w:val="00A414B6"/>
    <w:rsid w:val="00A41FBF"/>
    <w:rsid w:val="00A451B1"/>
    <w:rsid w:val="00A46E7C"/>
    <w:rsid w:val="00A5776A"/>
    <w:rsid w:val="00A66556"/>
    <w:rsid w:val="00A713EB"/>
    <w:rsid w:val="00A736A2"/>
    <w:rsid w:val="00A75082"/>
    <w:rsid w:val="00A76A58"/>
    <w:rsid w:val="00A76B10"/>
    <w:rsid w:val="00AA6034"/>
    <w:rsid w:val="00AA7298"/>
    <w:rsid w:val="00AB0174"/>
    <w:rsid w:val="00AB77A8"/>
    <w:rsid w:val="00AC33B2"/>
    <w:rsid w:val="00AD4F43"/>
    <w:rsid w:val="00AD527F"/>
    <w:rsid w:val="00AF0B3F"/>
    <w:rsid w:val="00AF2495"/>
    <w:rsid w:val="00AF2E08"/>
    <w:rsid w:val="00AF37B0"/>
    <w:rsid w:val="00AF49DF"/>
    <w:rsid w:val="00AF5050"/>
    <w:rsid w:val="00AF64CA"/>
    <w:rsid w:val="00B07ABE"/>
    <w:rsid w:val="00B11299"/>
    <w:rsid w:val="00B14569"/>
    <w:rsid w:val="00B21045"/>
    <w:rsid w:val="00B3371F"/>
    <w:rsid w:val="00B548B1"/>
    <w:rsid w:val="00B56B2B"/>
    <w:rsid w:val="00B61D95"/>
    <w:rsid w:val="00B62344"/>
    <w:rsid w:val="00B7460E"/>
    <w:rsid w:val="00B85B70"/>
    <w:rsid w:val="00B95675"/>
    <w:rsid w:val="00BB29C5"/>
    <w:rsid w:val="00BB7E52"/>
    <w:rsid w:val="00BC2C91"/>
    <w:rsid w:val="00BC3DE9"/>
    <w:rsid w:val="00BC481B"/>
    <w:rsid w:val="00BC541F"/>
    <w:rsid w:val="00BE14BD"/>
    <w:rsid w:val="00BE1790"/>
    <w:rsid w:val="00BE20B9"/>
    <w:rsid w:val="00BF0283"/>
    <w:rsid w:val="00C03FE9"/>
    <w:rsid w:val="00C06B37"/>
    <w:rsid w:val="00C2025E"/>
    <w:rsid w:val="00C20FD9"/>
    <w:rsid w:val="00C40139"/>
    <w:rsid w:val="00C4315E"/>
    <w:rsid w:val="00C730B9"/>
    <w:rsid w:val="00C80976"/>
    <w:rsid w:val="00C810C0"/>
    <w:rsid w:val="00C941A9"/>
    <w:rsid w:val="00CA1AE1"/>
    <w:rsid w:val="00CA1B32"/>
    <w:rsid w:val="00CA240B"/>
    <w:rsid w:val="00CB7E81"/>
    <w:rsid w:val="00CC5D83"/>
    <w:rsid w:val="00CD700B"/>
    <w:rsid w:val="00CE2017"/>
    <w:rsid w:val="00CE3B77"/>
    <w:rsid w:val="00CE4075"/>
    <w:rsid w:val="00CE456A"/>
    <w:rsid w:val="00CE6EB8"/>
    <w:rsid w:val="00CF05E5"/>
    <w:rsid w:val="00CF4E5F"/>
    <w:rsid w:val="00CF5295"/>
    <w:rsid w:val="00D023D5"/>
    <w:rsid w:val="00D05C24"/>
    <w:rsid w:val="00D10C08"/>
    <w:rsid w:val="00D10DDF"/>
    <w:rsid w:val="00D20500"/>
    <w:rsid w:val="00D27217"/>
    <w:rsid w:val="00D300E1"/>
    <w:rsid w:val="00D31245"/>
    <w:rsid w:val="00D326F8"/>
    <w:rsid w:val="00D35CC6"/>
    <w:rsid w:val="00D50988"/>
    <w:rsid w:val="00D54D86"/>
    <w:rsid w:val="00D656EF"/>
    <w:rsid w:val="00D7047B"/>
    <w:rsid w:val="00D71C89"/>
    <w:rsid w:val="00D8281A"/>
    <w:rsid w:val="00D82DE3"/>
    <w:rsid w:val="00D868F1"/>
    <w:rsid w:val="00D96BB4"/>
    <w:rsid w:val="00DA77BF"/>
    <w:rsid w:val="00DB5106"/>
    <w:rsid w:val="00DC00CC"/>
    <w:rsid w:val="00DC4BD2"/>
    <w:rsid w:val="00DD23BD"/>
    <w:rsid w:val="00DD6BE4"/>
    <w:rsid w:val="00DD7C6D"/>
    <w:rsid w:val="00DE30D7"/>
    <w:rsid w:val="00DE5754"/>
    <w:rsid w:val="00DF3426"/>
    <w:rsid w:val="00DF60D8"/>
    <w:rsid w:val="00E00E20"/>
    <w:rsid w:val="00E02500"/>
    <w:rsid w:val="00E038A9"/>
    <w:rsid w:val="00E13E2E"/>
    <w:rsid w:val="00E14371"/>
    <w:rsid w:val="00E2015A"/>
    <w:rsid w:val="00E30F8F"/>
    <w:rsid w:val="00E32529"/>
    <w:rsid w:val="00E33C40"/>
    <w:rsid w:val="00E365EB"/>
    <w:rsid w:val="00E46426"/>
    <w:rsid w:val="00E46998"/>
    <w:rsid w:val="00E70AFA"/>
    <w:rsid w:val="00E81F72"/>
    <w:rsid w:val="00E823F4"/>
    <w:rsid w:val="00E86EBE"/>
    <w:rsid w:val="00E945F4"/>
    <w:rsid w:val="00EA3E55"/>
    <w:rsid w:val="00EB526D"/>
    <w:rsid w:val="00EC4126"/>
    <w:rsid w:val="00EC72EC"/>
    <w:rsid w:val="00ED4887"/>
    <w:rsid w:val="00EE2284"/>
    <w:rsid w:val="00EF3128"/>
    <w:rsid w:val="00EF5502"/>
    <w:rsid w:val="00F046B5"/>
    <w:rsid w:val="00F2731F"/>
    <w:rsid w:val="00F278F7"/>
    <w:rsid w:val="00F41595"/>
    <w:rsid w:val="00F43D82"/>
    <w:rsid w:val="00F46C2F"/>
    <w:rsid w:val="00F50AC5"/>
    <w:rsid w:val="00F55E02"/>
    <w:rsid w:val="00F56091"/>
    <w:rsid w:val="00F6358A"/>
    <w:rsid w:val="00F65C2C"/>
    <w:rsid w:val="00F77993"/>
    <w:rsid w:val="00F8546E"/>
    <w:rsid w:val="00FA268C"/>
    <w:rsid w:val="00FB19D3"/>
    <w:rsid w:val="00FB40F1"/>
    <w:rsid w:val="00FC05AF"/>
    <w:rsid w:val="00FC1D9F"/>
    <w:rsid w:val="00FC5154"/>
    <w:rsid w:val="00FD2AD8"/>
    <w:rsid w:val="00FD4188"/>
    <w:rsid w:val="00FD6B74"/>
    <w:rsid w:val="00FE3B81"/>
    <w:rsid w:val="00FF2C0B"/>
    <w:rsid w:val="00FF479A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8FD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E68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68C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68C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E0981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7E098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TEXT">
    <w:name w:val="BOLD TEXT"/>
    <w:basedOn w:val="TEXT"/>
    <w:link w:val="BOLDTEXTChar"/>
    <w:qFormat/>
    <w:rsid w:val="009A7D6E"/>
    <w:pPr>
      <w:tabs>
        <w:tab w:val="left" w:pos="1040"/>
      </w:tabs>
      <w:suppressAutoHyphens/>
      <w:textAlignment w:val="center"/>
    </w:pPr>
    <w:rPr>
      <w:rFonts w:eastAsia="Calibri"/>
      <w:b/>
      <w:bCs/>
      <w:color w:val="000000"/>
      <w:szCs w:val="18"/>
    </w:rPr>
  </w:style>
  <w:style w:type="character" w:customStyle="1" w:styleId="BOLDTEXTChar">
    <w:name w:val="BOLD TEXT Char"/>
    <w:link w:val="BOLDTEXT"/>
    <w:rsid w:val="009A7D6E"/>
    <w:rPr>
      <w:rFonts w:ascii="Arial" w:eastAsia="Calibri" w:hAnsi="Arial" w:cs="Arial"/>
      <w:b/>
      <w:bCs/>
      <w:color w:val="000000"/>
      <w:szCs w:val="18"/>
    </w:rPr>
  </w:style>
  <w:style w:type="paragraph" w:customStyle="1" w:styleId="TEXT">
    <w:name w:val="TEXT"/>
    <w:basedOn w:val="Normal"/>
    <w:link w:val="TEXTChar"/>
    <w:qFormat/>
    <w:rsid w:val="00BC481B"/>
    <w:pPr>
      <w:widowControl w:val="0"/>
      <w:autoSpaceDE w:val="0"/>
      <w:autoSpaceDN w:val="0"/>
      <w:adjustRightInd w:val="0"/>
      <w:spacing w:before="120" w:after="0" w:line="240" w:lineRule="auto"/>
      <w:ind w:right="-245"/>
    </w:pPr>
    <w:rPr>
      <w:rFonts w:ascii="Arial" w:hAnsi="Arial" w:cs="Arial"/>
      <w:sz w:val="20"/>
      <w:szCs w:val="20"/>
    </w:rPr>
  </w:style>
  <w:style w:type="paragraph" w:customStyle="1" w:styleId="BOLDBULLETS">
    <w:name w:val="BOLD BULLETS"/>
    <w:basedOn w:val="Normal"/>
    <w:link w:val="BOLDBULLETSChar"/>
    <w:qFormat/>
    <w:rsid w:val="009A7D6E"/>
    <w:pPr>
      <w:widowControl w:val="0"/>
      <w:autoSpaceDE w:val="0"/>
      <w:autoSpaceDN w:val="0"/>
      <w:adjustRightInd w:val="0"/>
      <w:spacing w:before="60" w:after="0" w:line="240" w:lineRule="auto"/>
      <w:ind w:left="360" w:right="-245" w:hanging="360"/>
      <w:contextualSpacing/>
    </w:pPr>
    <w:rPr>
      <w:rFonts w:ascii="Arial" w:hAnsi="Arial" w:cs="Arial"/>
      <w:b/>
      <w:sz w:val="20"/>
      <w:szCs w:val="20"/>
    </w:rPr>
  </w:style>
  <w:style w:type="character" w:customStyle="1" w:styleId="TEXTChar">
    <w:name w:val="TEXT Char"/>
    <w:basedOn w:val="DefaultParagraphFont"/>
    <w:link w:val="TEXT"/>
    <w:rsid w:val="00BC481B"/>
    <w:rPr>
      <w:rFonts w:ascii="Arial" w:hAnsi="Arial" w:cs="Arial"/>
    </w:rPr>
  </w:style>
  <w:style w:type="character" w:customStyle="1" w:styleId="BOLDBULLETSChar">
    <w:name w:val="BOLD BULLETS Char"/>
    <w:basedOn w:val="DefaultParagraphFont"/>
    <w:link w:val="BOLDBULLETS"/>
    <w:rsid w:val="009A7D6E"/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31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F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17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4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68C9"/>
    <w:rPr>
      <w:sz w:val="22"/>
      <w:szCs w:val="22"/>
    </w:rPr>
  </w:style>
  <w:style w:type="paragraph" w:styleId="NoSpacing">
    <w:name w:val="No Spacing"/>
    <w:uiPriority w:val="1"/>
    <w:qFormat/>
    <w:rsid w:val="000216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f0de355-8ebc-4323-87eb-88c393f7b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E24CE97D24546A383BD7B5D2DD163" ma:contentTypeVersion="18" ma:contentTypeDescription="Create a new document." ma:contentTypeScope="" ma:versionID="c38559846b0d0e1c1d6ba01f38925cfa">
  <xsd:schema xmlns:xsd="http://www.w3.org/2001/XMLSchema" xmlns:xs="http://www.w3.org/2001/XMLSchema" xmlns:p="http://schemas.microsoft.com/office/2006/metadata/properties" xmlns:ns1="http://schemas.microsoft.com/sharepoint/v3" xmlns:ns3="1f0de355-8ebc-4323-87eb-88c393f7bcd6" xmlns:ns4="3bc238ac-15d3-4fe1-ac17-e3042e93c834" targetNamespace="http://schemas.microsoft.com/office/2006/metadata/properties" ma:root="true" ma:fieldsID="9b1d63744a76662a03cb9784deba3017" ns1:_="" ns3:_="" ns4:_="">
    <xsd:import namespace="http://schemas.microsoft.com/sharepoint/v3"/>
    <xsd:import namespace="1f0de355-8ebc-4323-87eb-88c393f7bcd6"/>
    <xsd:import namespace="3bc238ac-15d3-4fe1-ac17-e3042e93c8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de355-8ebc-4323-87eb-88c393f7b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38ac-15d3-4fe1-ac17-e3042e93c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EFC85-DACA-4AD7-B42E-A9B2EFE1E5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0de355-8ebc-4323-87eb-88c393f7bcd6"/>
  </ds:schemaRefs>
</ds:datastoreItem>
</file>

<file path=customXml/itemProps2.xml><?xml version="1.0" encoding="utf-8"?>
<ds:datastoreItem xmlns:ds="http://schemas.openxmlformats.org/officeDocument/2006/customXml" ds:itemID="{03FCBDB6-495D-4902-9A51-CB5255501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0de355-8ebc-4323-87eb-88c393f7bcd6"/>
    <ds:schemaRef ds:uri="3bc238ac-15d3-4fe1-ac17-e3042e93c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5DF26-72AB-4FBC-AD1E-4E6E019202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dda32-ee80-4da8-a3ac-ec0e9e41a50a}" enabled="0" method="" siteId="{a72dda32-ee80-4da8-a3ac-ec0e9e41a5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2024-12-17T16:38:00Z</dcterms:created>
  <dcterms:modified xsi:type="dcterms:W3CDTF">2024-12-17T16:38:00Z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0x010100724E24CE97D24546A383BD7B5D2DD163</vt:lpwstr>
  </property>
</Properties>
</file>